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FC639F" w:rsidR="00FC639F" w:rsidP="25A30E0F" w:rsidRDefault="00606ACB" w14:paraId="378212D3" w14:textId="4AE485DB">
      <w:pPr>
        <w:shd w:val="clear" w:color="auto" w:fill="FFFFFF" w:themeFill="background1"/>
        <w:spacing w:line="240" w:lineRule="auto"/>
      </w:pPr>
      <w:r w:rsidRPr="25A30E0F">
        <w:rPr>
          <w:rFonts w:ascii="Aptos ExtraBold" w:hAnsi="Aptos ExtraBold" w:eastAsia="Twentieth Century" w:cs="Twentieth Century"/>
          <w:b/>
          <w:bCs/>
          <w:sz w:val="32"/>
          <w:szCs w:val="32"/>
        </w:rPr>
        <w:t xml:space="preserve">Recommandations de la WCS pour la 81e session du Comité de la science (SC81) de la CITES</w:t>
      </w:r>
      <w:r w:rsidRPr="25A30E0F">
        <w:rPr>
          <w:rFonts w:ascii="Aptos ExtraBold" w:hAnsi="Aptos ExtraBold" w:eastAsia="Twentieth Century" w:cs="Twentieth Century"/>
          <w:b/>
          <w:bCs/>
          <w:sz w:val="24"/>
          <w:szCs w:val="24"/>
        </w:rPr>
        <w:t xml:space="preserve"> </w:t>
      </w:r>
      <w:r w:rsidR="25A30E0F">
        <w:rPr>
          <w:noProof/>
        </w:rPr>
        <w:drawing>
          <wp:anchor distT="0" distB="0" distL="114300" distR="114300" simplePos="0" relativeHeight="251659264" behindDoc="0" locked="0" layoutInCell="1" allowOverlap="1" wp14:editId="53D6E49A" wp14:anchorId="480753EC">
            <wp:simplePos x="0" y="0"/>
            <wp:positionH relativeFrom="column">
              <wp:posOffset>4229100</wp:posOffset>
            </wp:positionH>
            <wp:positionV relativeFrom="paragraph">
              <wp:posOffset>-123825</wp:posOffset>
            </wp:positionV>
            <wp:extent cx="1815684" cy="647700"/>
            <wp:effectExtent l="0" t="0" r="0" b="0"/>
            <wp:wrapNone/>
            <wp:docPr id="14675832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815684" cy="647700"/>
                    </a:xfrm>
                    <a:prstGeom prst="rect">
                      <a:avLst/>
                    </a:prstGeom>
                    <a:ln/>
                  </pic:spPr>
                </pic:pic>
              </a:graphicData>
            </a:graphic>
            <wp14:sizeRelH relativeFrom="page">
              <wp14:pctWidth>0</wp14:pctWidth>
            </wp14:sizeRelH>
            <wp14:sizeRelV relativeFrom="page">
              <wp14:pctHeight>0</wp14:pctHeight>
            </wp14:sizeRelV>
          </wp:anchor>
        </w:drawing>
      </w:r>
    </w:p>
    <w:p w:rsidR="00606ACB" w:rsidP="61EE67E2" w:rsidRDefault="00606ACB" w14:paraId="213C479D" w14:textId="088C4C4B">
      <w:pPr>
        <w:shd w:val="clear" w:color="auto" w:fill="FFFFFF" w:themeFill="background1"/>
        <w:spacing w:line="240" w:lineRule="auto"/>
      </w:pPr>
      <w:r w:rsidRPr="61EE67E2">
        <w:rPr>
          <w:rFonts w:ascii="Aptos" w:hAnsi="Aptos" w:eastAsia="Twentieth Century" w:cs="Twentieth Century"/>
          <w:b/>
          <w:bCs/>
          <w:color w:val="B7B7B7"/>
          <w:sz w:val="24"/>
          <w:szCs w:val="24"/>
        </w:rPr>
        <w:t xml:space="preserve">Genève, Suisse, du 2 au 6 novembre 2026</w:t>
      </w:r>
    </w:p>
    <w:p w:rsidRPr="00682E50" w:rsidR="007A4A91" w:rsidP="00682E50" w:rsidRDefault="007A4A91" w14:paraId="33408B5B" w14:textId="59034264">
      <w:pPr>
        <w:shd w:val="clear" w:color="auto" w:fill="FFFFFF"/>
        <w:spacing w:line="240" w:lineRule="auto"/>
        <w:rPr>
          <w:rFonts w:ascii="Aptos" w:hAnsi="Aptos" w:eastAsia="Twentieth Century" w:cs="Twentieth Century"/>
          <w:shd w:val="clear" w:color="auto" w:fill="C6C6C6"/>
        </w:rPr>
      </w:pPr>
    </w:p>
    <w:p w:rsidRPr="00682E50" w:rsidR="007A4A91" w:rsidP="00682E50" w:rsidRDefault="007A4A91" w14:paraId="4E2EE7D1" w14:textId="21472960">
      <w:pPr>
        <w:shd w:val="clear" w:color="auto" w:fill="FFFFFF"/>
        <w:spacing w:line="240" w:lineRule="auto"/>
        <w:rPr>
          <w:rFonts w:ascii="Aptos" w:hAnsi="Aptos" w:eastAsia="Twentieth Century" w:cs="Twentieth Century"/>
          <w:shd w:val="clear" w:color="auto" w:fill="C6C6C6"/>
        </w:rPr>
      </w:pPr>
    </w:p>
    <w:p w:rsidR="25A30E0F" w:rsidP="25A30E0F" w:rsidRDefault="25A30E0F" w14:paraId="72A8C17F" w14:textId="2EDCB523">
      <w:pPr>
        <w:shd w:val="clear" w:color="auto" w:fill="FFFFFF" w:themeFill="background1"/>
        <w:spacing w:line="240" w:lineRule="auto"/>
      </w:pPr>
    </w:p>
    <w:p w:rsidRPr="00682E50" w:rsidR="00682E50" w:rsidP="00682E50" w:rsidRDefault="00682E50" w14:paraId="58601AD2" w14:textId="77777777">
      <w:pPr>
        <w:spacing w:line="240" w:lineRule="auto"/>
        <w:rPr>
          <w:rFonts w:ascii="Aptos" w:hAnsi="Aptos" w:eastAsia="Aptos" w:cs="Aptos"/>
          <w:lang w:val="en-US"/>
        </w:rPr>
      </w:pPr>
      <w:r w:rsidRPr="25A30E0F">
        <w:rPr>
          <w:rFonts w:ascii="Aptos" w:hAnsi="Aptos" w:eastAsia="Aptos" w:cs="Aptos"/>
          <w:lang w:val="en-US"/>
        </w:rPr>
        <w:t xml:space="preserve">La Wildlife Conservation Society (WCS) est une ONG internationale de conservation qui œuvre depuis plus de 125 ans à travers le monde pour préserver la faune sauvage et les espaces naturels. Nous menons des programmes de conservation sur le terrain dans environ 60 pays, en partenariat avec les gouvernements, les peuples autochtones, les communautés locales, le secteur privé, le monde universitaire et d’autres parties prenantes, dans le cadre d’initiatives de conservation fondées sur la science. </w:t>
      </w:r>
    </w:p>
    <w:p w:rsidRPr="00682E50" w:rsidR="00682E50" w:rsidP="00682E50" w:rsidRDefault="00682E50" w14:paraId="79F1D116" w14:textId="77777777">
      <w:pPr>
        <w:spacing w:line="240" w:lineRule="auto"/>
        <w:rPr>
          <w:rFonts w:ascii="Aptos" w:hAnsi="Aptos" w:eastAsia="Aptos" w:cs="Aptos"/>
          <w:lang w:val="en-US"/>
        </w:rPr>
      </w:pPr>
    </w:p>
    <w:p w:rsidRPr="00682E50" w:rsidR="00682E50" w:rsidP="00682E50" w:rsidRDefault="00682E50" w14:paraId="4CEF4149" w14:textId="77777777">
      <w:pPr>
        <w:spacing w:line="240" w:lineRule="auto"/>
        <w:rPr>
          <w:rFonts w:ascii="Aptos" w:hAnsi="Aptos" w:eastAsia="Aptos" w:cs="Aptos"/>
          <w:lang w:val="en-US"/>
        </w:rPr>
      </w:pPr>
      <w:r w:rsidRPr="164385D1">
        <w:rPr>
          <w:rFonts w:ascii="Aptos" w:hAnsi="Aptos" w:eastAsia="Aptos" w:cs="Aptos"/>
          <w:lang w:val="en-US"/>
        </w:rPr>
        <w:t xml:space="preserve">Pour toute question concernant le contenu du présent document, </w:t>
      </w:r>
      <w:r w:rsidRPr="164385D1">
        <w:rPr>
          <w:rFonts w:ascii="Aptos" w:hAnsi="Aptos" w:eastAsia="Aptos" w:cs="Aptos"/>
          <w:lang w:val="en-US"/>
        </w:rPr>
        <w:t xml:space="preserve">veuillez contacter le Dr Susan Lieberman (</w:t>
      </w:r>
      <w:hyperlink r:id="rId9">
        <w:r w:rsidRPr="164385D1">
          <w:rPr>
            <w:rStyle w:val="Hyperlink"/>
            <w:rFonts w:ascii="Aptos" w:hAnsi="Aptos"/>
            <w:lang w:val="en-US"/>
          </w:rPr>
          <w:t>slieberman@wcs.org</w:t>
        </w:r>
      </w:hyperlink>
      <w:r w:rsidRPr="164385D1">
        <w:rPr>
          <w:rFonts w:ascii="Aptos" w:hAnsi="Aptos" w:eastAsia="Aptos" w:cs="Aptos"/>
          <w:lang w:val="en-US"/>
        </w:rPr>
        <w:t xml:space="preserve"> ) et Alfred DeGemmis (</w:t>
      </w:r>
      <w:hyperlink r:id="rId10">
        <w:r w:rsidRPr="164385D1">
          <w:rPr>
            <w:rStyle w:val="Hyperlink"/>
            <w:rFonts w:ascii="Aptos" w:hAnsi="Aptos"/>
            <w:lang w:val="en-US"/>
          </w:rPr>
          <w:t>adegemmis@wcs.org</w:t>
        </w:r>
      </w:hyperlink>
      <w:r w:rsidRPr="164385D1">
        <w:rPr>
          <w:rStyle w:val="Hyperlink"/>
          <w:rFonts w:ascii="Aptos" w:hAnsi="Aptos"/>
          <w:lang w:val="en-US"/>
        </w:rPr>
        <w:t xml:space="preserve"> )</w:t>
      </w:r>
      <w:r w:rsidRPr="164385D1">
        <w:rPr>
          <w:rFonts w:ascii="Aptos" w:hAnsi="Aptos" w:eastAsia="Aptos" w:cs="Aptos"/>
          <w:lang w:val="en-US"/>
        </w:rPr>
        <w:t xml:space="preserve">. Veuillez vous reporter à l’annexe du présent document pour consulter la liste des acronymes utilisés. </w:t>
      </w:r>
    </w:p>
    <w:p w:rsidRPr="00682E50" w:rsidR="007A4A91" w:rsidP="5403C073" w:rsidRDefault="00000000" w14:paraId="7F646FE5" w14:textId="77777777">
      <w:pPr>
        <w:shd w:val="clear" w:color="auto" w:fill="FFFFFF" w:themeFill="background1"/>
        <w:spacing w:line="240" w:lineRule="auto"/>
        <w:rPr>
          <w:rFonts w:ascii="Aptos" w:hAnsi="Aptos" w:eastAsia="Twentieth Century" w:cs="Twentieth Century"/>
          <w:shd w:val="clear" w:color="auto" w:fill="C6C6C6"/>
        </w:rPr>
      </w:pPr>
      <w:r w:rsidRPr="00682E50">
        <w:rPr>
          <w:rFonts w:ascii="Aptos" w:hAnsi="Aptos" w:eastAsia="Twentieth Century" w:cs="Twentieth Century"/>
          <w:shd w:val="clear" w:color="auto" w:fill="C6C6C6"/>
        </w:rPr>
        <w:t xml:space="preserve"> </w:t>
      </w:r>
    </w:p>
    <w:p w:rsidRPr="00682E50" w:rsidR="007A4A91" w:rsidP="5403C073" w:rsidRDefault="00000000" w14:paraId="4B25A897" w14:textId="77777777">
      <w:pPr>
        <w:shd w:val="clear" w:color="auto" w:fill="FFFFFF" w:themeFill="background1"/>
        <w:spacing w:line="240" w:lineRule="auto"/>
        <w:rPr>
          <w:rFonts w:ascii="Aptos" w:hAnsi="Aptos" w:eastAsia="Twentieth Century" w:cs="Twentieth Century"/>
          <w:shd w:val="clear" w:color="auto" w:fill="C6C6C6"/>
        </w:rPr>
      </w:pPr>
      <w:r w:rsidRPr="00682E50">
        <w:rPr>
          <w:rFonts w:ascii="Aptos" w:hAnsi="Aptos" w:eastAsia="Twentieth Century" w:cs="Twentieth Century"/>
          <w:shd w:val="clear" w:color="auto" w:fill="C6C6C6"/>
        </w:rPr>
        <w:t xml:space="preserve"> </w:t>
      </w:r>
    </w:p>
    <w:p w:rsidRPr="00682E50" w:rsidR="007A4A91" w:rsidP="5403C073" w:rsidRDefault="00682E50" w14:paraId="7EC18131" w14:textId="237F05A2">
      <w:pPr>
        <w:shd w:val="clear" w:color="auto" w:fill="FFFFFF" w:themeFill="background1"/>
        <w:spacing w:line="240" w:lineRule="auto"/>
        <w:rPr>
          <w:rFonts w:ascii="Aptos" w:hAnsi="Aptos" w:eastAsia="Twentieth Century" w:cs="Twentieth Century"/>
          <w:shd w:val="clear" w:color="auto" w:fill="C6C6C6"/>
        </w:rPr>
      </w:pPr>
      <w:r>
        <w:rPr>
          <w:rFonts w:ascii="Aptos" w:hAnsi="Aptos" w:eastAsia="Twentieth Century" w:cs="Twentieth Century"/>
          <w:b/>
          <w:bCs/>
        </w:rPr>
        <w:t xml:space="preserve">Accéder à une recommandation spécifique </w:t>
      </w:r>
      <w:r w:rsidRPr="00682E50">
        <w:rPr>
          <w:rFonts w:ascii="Aptos" w:hAnsi="Aptos" w:eastAsia="Twentieth Century" w:cs="Twentieth Century"/>
          <w:b/>
          <w:bCs/>
        </w:rPr>
        <w:t xml:space="preserve">:  </w:t>
      </w:r>
    </w:p>
    <w:p w:rsidR="00682E50" w:rsidP="5403C073" w:rsidRDefault="00000000" w14:paraId="35DE2113" w14:textId="15355607">
      <w:pPr>
        <w:shd w:val="clear" w:color="auto" w:fill="FFFFFF" w:themeFill="background1"/>
        <w:spacing w:line="240" w:lineRule="auto"/>
        <w:rPr>
          <w:rFonts w:ascii="Aptos" w:hAnsi="Aptos" w:eastAsia="Twentieth Century" w:cs="Twentieth Century"/>
          <w:shd w:val="clear" w:color="auto" w:fill="C6C6C6"/>
        </w:rPr>
      </w:pPr>
      <w:r w:rsidRPr="00682E50">
        <w:rPr>
          <w:rFonts w:ascii="Aptos" w:hAnsi="Aptos" w:eastAsia="Twentieth Century" w:cs="Twentieth Century"/>
          <w:shd w:val="clear" w:color="auto" w:fill="C6C6C6"/>
        </w:rPr>
        <w:t xml:space="preserve"> </w:t>
      </w:r>
    </w:p>
    <w:p w:rsidR="00682E50" w:rsidP="25A30E0F" w:rsidRDefault="00682E50" w14:paraId="4B2697F0" w14:textId="77777777">
      <w:pPr>
        <w:shd w:val="clear" w:color="auto" w:fill="FFFFFF" w:themeFill="background1"/>
        <w:spacing w:line="240" w:lineRule="auto"/>
        <w:ind w:start="180"/>
        <w:rPr>
          <w:rFonts w:ascii="Aptos" w:hAnsi="Aptos" w:eastAsia="Twentieth Century" w:cs="Twentieth Century"/>
          <w:color w:val="1F497D" w:themeColor="text2"/>
          <w:sz w:val="19"/>
          <w:szCs w:val="19"/>
        </w:rPr>
      </w:pPr>
      <w:hyperlink w:history="1" w:anchor="_13.1:_Enhancing_the">
        <w:r w:rsidRPr="25A30E0F">
          <w:rPr>
            <w:rStyle w:val="Hyperlink"/>
            <w:rFonts w:ascii="Aptos" w:hAnsi="Aptos" w:eastAsia="Twentieth Century" w:cs="Twentieth Century"/>
            <w:color w:val="1F497D" w:themeColor="text2"/>
            <w:sz w:val="19"/>
            <w:szCs w:val="19"/>
            <w:u w:val="none"/>
          </w:rPr>
          <w:t xml:space="preserve">13.1 : Renforcer les travaux et l'efficacité de la Convention par le biais des comités permanents : rapport du groupe de travail</w:t>
        </w:r>
      </w:hyperlink>
    </w:p>
    <w:p w:rsidRPr="00682E50" w:rsidR="00682E50" w:rsidP="25A30E0F" w:rsidRDefault="00682E50" w14:paraId="2E01F1CA" w14:textId="5F6A40A8">
      <w:pPr>
        <w:shd w:val="clear" w:color="auto" w:fill="FFFFFF" w:themeFill="background1"/>
        <w:spacing w:line="240" w:lineRule="auto"/>
        <w:ind w:start="180"/>
        <w:rPr>
          <w:rFonts w:ascii="Aptos" w:hAnsi="Aptos" w:eastAsia="Twentieth Century" w:cs="Twentieth Century"/>
          <w:color w:val="1F497D" w:themeColor="text2"/>
          <w:sz w:val="19"/>
          <w:szCs w:val="19"/>
        </w:rPr>
      </w:pPr>
      <w:hyperlink w:history="1" w:anchor="_13.1:_Enhancing_the">
        <w:r w:rsidRPr="25A30E0F">
          <w:rPr>
            <w:rStyle w:val="Hyperlink"/>
            <w:rFonts w:ascii="Aptos" w:hAnsi="Aptos" w:eastAsia="Twentieth Century" w:cs="Twentieth Century"/>
            <w:color w:val="1F497D" w:themeColor="text2"/>
            <w:sz w:val="19"/>
            <w:szCs w:val="19"/>
            <w:u w:val="none"/>
          </w:rPr>
          <w:t xml:space="preserve">13.2 : Renforcer les travaux et l’efficacité de la Convention par le biais des comités permanents : demandes d’informations adressées aux Parties : aperçu et principaux défis</w:t>
        </w:r>
      </w:hyperlink>
    </w:p>
    <w:p w:rsidRPr="00682E50" w:rsidR="00682E50" w:rsidP="00682E50" w:rsidRDefault="00682E50" w14:paraId="249DBA88" w14:textId="0077A22D">
      <w:pPr>
        <w:shd w:val="clear" w:color="auto" w:fill="FFFFFF"/>
        <w:spacing w:line="240" w:lineRule="auto"/>
        <w:ind w:start="180"/>
        <w:rPr>
          <w:rFonts w:ascii="Aptos" w:hAnsi="Aptos" w:eastAsia="Twentieth Century" w:cs="Twentieth Century"/>
          <w:color w:val="1F497D" w:themeColor="text2"/>
          <w:sz w:val="19"/>
          <w:szCs w:val="19"/>
        </w:rPr>
      </w:pPr>
      <w:hyperlink w:history="1" w:anchor="_14:_Role_of">
        <w:r w:rsidRPr="00682E50">
          <w:rPr>
            <w:rStyle w:val="Hyperlink"/>
            <w:rFonts w:ascii="Aptos" w:hAnsi="Aptos" w:eastAsia="Twentieth Century" w:cs="Twentieth Century"/>
            <w:color w:val="1F497D" w:themeColor="text2"/>
            <w:sz w:val="19"/>
            <w:szCs w:val="19"/>
            <w:u w:val="none"/>
          </w:rPr>
          <w:t xml:space="preserve">14 : Rôle de la CITES dans la réduction du risque d'émergence future de maladies zoonotiques liées au commerce international des espèces sauvages [Décisions 19.17 (Rev. CoP20) et 20.23]</w:t>
        </w:r>
      </w:hyperlink>
    </w:p>
    <w:p w:rsidRPr="00682E50" w:rsidR="00682E50" w:rsidP="00682E50" w:rsidRDefault="00682E50" w14:paraId="5209B245" w14:textId="793FD08B">
      <w:pPr>
        <w:shd w:val="clear" w:color="auto" w:fill="FFFFFF"/>
        <w:spacing w:line="240" w:lineRule="auto"/>
        <w:ind w:start="180"/>
        <w:rPr>
          <w:rFonts w:ascii="Aptos" w:hAnsi="Aptos" w:eastAsia="Twentieth Century" w:cs="Twentieth Century"/>
          <w:color w:val="1F497D" w:themeColor="text2"/>
          <w:sz w:val="19"/>
          <w:szCs w:val="19"/>
        </w:rPr>
      </w:pPr>
      <w:hyperlink w:history="1" w:anchor="_15:_Cooperation_with">
        <w:r w:rsidRPr="00682E50">
          <w:rPr>
            <w:rStyle w:val="Hyperlink"/>
            <w:rFonts w:ascii="Aptos" w:hAnsi="Aptos" w:eastAsia="Twentieth Century" w:cs="Twentieth Century"/>
            <w:color w:val="1F497D" w:themeColor="text2"/>
            <w:sz w:val="19"/>
            <w:szCs w:val="19"/>
            <w:u w:val="none"/>
          </w:rPr>
          <w:t xml:space="preserve">15 : Coopération avec les accords multilatéraux sur l’environnement et d’autres organisations internationales</w:t>
        </w:r>
      </w:hyperlink>
    </w:p>
    <w:p w:rsidRPr="00682E50" w:rsidR="00682E50" w:rsidP="00682E50" w:rsidRDefault="00682E50" w14:paraId="5908EA1D" w14:textId="09743334">
      <w:pPr>
        <w:shd w:val="clear" w:color="auto" w:fill="FFFFFF"/>
        <w:spacing w:line="240" w:lineRule="auto"/>
        <w:ind w:start="180"/>
        <w:rPr>
          <w:rFonts w:ascii="Aptos" w:hAnsi="Aptos" w:eastAsia="Twentieth Century" w:cs="Twentieth Century"/>
          <w:color w:val="1F497D" w:themeColor="text2"/>
          <w:sz w:val="19"/>
          <w:szCs w:val="19"/>
        </w:rPr>
      </w:pPr>
      <w:hyperlink w:history="1" w:anchor="_16:_IPBES_Assessment">
        <w:r w:rsidRPr="00682E50">
          <w:rPr>
            <w:rStyle w:val="Hyperlink"/>
            <w:rFonts w:ascii="Aptos" w:hAnsi="Aptos" w:eastAsia="Twentieth Century" w:cs="Twentieth Century"/>
            <w:color w:val="1F497D" w:themeColor="text2"/>
            <w:sz w:val="19"/>
            <w:szCs w:val="19"/>
            <w:u w:val="none"/>
          </w:rPr>
          <w:t xml:space="preserve">16 : Rapport d’évaluation de l’IPBES sur l’utilisation durable des espèces sauvages</w:t>
        </w:r>
      </w:hyperlink>
    </w:p>
    <w:p w:rsidRPr="00682E50" w:rsidR="00682E50" w:rsidP="00682E50" w:rsidRDefault="00682E50" w14:paraId="460A4DB3" w14:textId="61FF2993">
      <w:pPr>
        <w:shd w:val="clear" w:color="auto" w:fill="FFFFFF"/>
        <w:spacing w:line="240" w:lineRule="auto"/>
        <w:ind w:start="180"/>
        <w:rPr>
          <w:rFonts w:ascii="Aptos" w:hAnsi="Aptos" w:eastAsia="Twentieth Century" w:cs="Twentieth Century"/>
          <w:color w:val="1F497D" w:themeColor="text2"/>
          <w:sz w:val="19"/>
          <w:szCs w:val="19"/>
        </w:rPr>
      </w:pPr>
      <w:hyperlink w:history="1" w:anchor="_17:_Review_of">
        <w:r w:rsidRPr="00682E50">
          <w:rPr>
            <w:rStyle w:val="Hyperlink"/>
            <w:rFonts w:ascii="Aptos" w:hAnsi="Aptos" w:eastAsia="Twentieth Century" w:cs="Twentieth Century"/>
            <w:color w:val="1F497D" w:themeColor="text2"/>
            <w:sz w:val="19"/>
            <w:szCs w:val="19"/>
            <w:u w:val="none"/>
          </w:rPr>
          <w:t xml:space="preserve">17 : Examen de la résolution Conf. 10.4 (Rev. CoP14) et de la résolution Conf. 13.2 (Rev. CoP14)</w:t>
        </w:r>
      </w:hyperlink>
    </w:p>
    <w:p w:rsidRPr="00682E50" w:rsidR="00682E50" w:rsidP="00682E50" w:rsidRDefault="00682E50" w14:paraId="1453ACD6" w14:textId="3C9360CB">
      <w:pPr>
        <w:shd w:val="clear" w:color="auto" w:fill="FFFFFF"/>
        <w:spacing w:line="240" w:lineRule="auto"/>
        <w:ind w:start="180"/>
        <w:rPr>
          <w:rFonts w:ascii="Aptos" w:hAnsi="Aptos" w:eastAsia="Twentieth Century" w:cs="Twentieth Century"/>
          <w:color w:val="1F497D" w:themeColor="text2"/>
          <w:sz w:val="19"/>
          <w:szCs w:val="19"/>
        </w:rPr>
      </w:pPr>
      <w:hyperlink w:history="1" w:anchor="_18:_World_Wildlife">
        <w:r w:rsidRPr="00682E50">
          <w:rPr>
            <w:rStyle w:val="Hyperlink"/>
            <w:rFonts w:ascii="Aptos" w:hAnsi="Aptos" w:eastAsia="Twentieth Century" w:cs="Twentieth Century"/>
            <w:color w:val="1F497D" w:themeColor="text2"/>
            <w:sz w:val="19"/>
            <w:szCs w:val="19"/>
            <w:u w:val="none"/>
          </w:rPr>
          <w:t xml:space="preserve">18 : Rapport sur le commerce mondial des espèces sauvages (décisions 20.18 et 20.19)</w:t>
        </w:r>
      </w:hyperlink>
    </w:p>
    <w:p w:rsidRPr="00682E50" w:rsidR="00682E50" w:rsidP="00682E50" w:rsidRDefault="00682E50" w14:paraId="691A5B4A" w14:textId="7D03B799">
      <w:pPr>
        <w:shd w:val="clear" w:color="auto" w:fill="FFFFFF"/>
        <w:spacing w:line="240" w:lineRule="auto"/>
        <w:ind w:start="180"/>
        <w:rPr>
          <w:rFonts w:ascii="Aptos" w:hAnsi="Aptos" w:eastAsia="Twentieth Century" w:cs="Twentieth Century"/>
          <w:color w:val="1F497D" w:themeColor="text2"/>
          <w:sz w:val="19"/>
          <w:szCs w:val="19"/>
        </w:rPr>
      </w:pPr>
      <w:hyperlink w:history="1" w:anchor="_23:_Compliance_Assistance">
        <w:r w:rsidRPr="00682E50">
          <w:rPr>
            <w:rStyle w:val="Hyperlink"/>
            <w:rFonts w:ascii="Aptos" w:hAnsi="Aptos" w:eastAsia="Twentieth Century" w:cs="Twentieth Century"/>
            <w:color w:val="1F497D" w:themeColor="text2"/>
            <w:sz w:val="19"/>
            <w:szCs w:val="19"/>
            <w:u w:val="none"/>
          </w:rPr>
          <w:t xml:space="preserve">23 : </w:t>
        </w:r>
        <w:r w:rsidRPr="00682E50">
          <w:rPr>
            <w:rStyle w:val="Hyperlink"/>
            <w:rFonts w:ascii="Aptos" w:hAnsi="Aptos" w:eastAsia="Twentieth Century" w:cs="Twentieth Century"/>
            <w:color w:val="1F497D" w:themeColor="text2"/>
            <w:sz w:val="19"/>
            <w:szCs w:val="19"/>
            <w:u w:val="none"/>
          </w:rPr>
          <w:t xml:space="preserve">Programme</w:t>
        </w:r>
        <w:r w:rsidRPr="00682E50">
          <w:rPr>
            <w:rStyle w:val="Hyperlink"/>
            <w:rFonts w:ascii="Aptos" w:hAnsi="Aptos" w:eastAsia="Twentieth Century" w:cs="Twentieth Century"/>
            <w:color w:val="1F497D" w:themeColor="text2"/>
            <w:sz w:val="19"/>
            <w:szCs w:val="19"/>
            <w:u w:val="none"/>
          </w:rPr>
          <w:t xml:space="preserve"> d’aide à la mise en conformité </w:t>
        </w:r>
        <w:r w:rsidRPr="00682E50">
          <w:rPr>
            <w:rStyle w:val="Hyperlink"/>
            <w:rFonts w:ascii="Aptos" w:hAnsi="Aptos" w:eastAsia="Twentieth Century" w:cs="Twentieth Century"/>
            <w:color w:val="1F497D" w:themeColor="text2"/>
            <w:sz w:val="19"/>
            <w:szCs w:val="19"/>
            <w:u w:val="none"/>
          </w:rPr>
          <w:t xml:space="preserve">(décision 20.26)</w:t>
        </w:r>
      </w:hyperlink>
    </w:p>
    <w:p w:rsidRPr="00682E50" w:rsidR="00682E50" w:rsidP="00682E50" w:rsidRDefault="00682E50" w14:paraId="332D2603" w14:textId="726BEF2D">
      <w:pPr>
        <w:shd w:val="clear" w:color="auto" w:fill="FFFFFF"/>
        <w:spacing w:line="240" w:lineRule="auto"/>
        <w:ind w:start="180"/>
        <w:rPr>
          <w:rFonts w:ascii="Aptos" w:hAnsi="Aptos" w:eastAsia="Twentieth Century" w:cs="Twentieth Century"/>
          <w:color w:val="1F497D" w:themeColor="text2"/>
          <w:sz w:val="19"/>
          <w:szCs w:val="19"/>
        </w:rPr>
      </w:pPr>
      <w:hyperlink w:history="1" w:anchor="_27:_Indigenous_peoples">
        <w:r w:rsidRPr="00682E50">
          <w:rPr>
            <w:rStyle w:val="Hyperlink"/>
            <w:rFonts w:ascii="Aptos" w:hAnsi="Aptos" w:eastAsia="Twentieth Century" w:cs="Twentieth Century"/>
            <w:color w:val="1F497D" w:themeColor="text2"/>
            <w:sz w:val="19"/>
            <w:szCs w:val="19"/>
            <w:u w:val="none"/>
          </w:rPr>
          <w:t xml:space="preserve">27 : Peuples autochtones et communautés locales (décision 20.33)</w:t>
        </w:r>
      </w:hyperlink>
    </w:p>
    <w:p w:rsidRPr="00682E50" w:rsidR="00682E50" w:rsidP="00682E50" w:rsidRDefault="00682E50" w14:paraId="66180BCB" w14:textId="7A36DB41">
      <w:pPr>
        <w:shd w:val="clear" w:color="auto" w:fill="FFFFFF"/>
        <w:spacing w:line="240" w:lineRule="auto"/>
        <w:ind w:start="180"/>
        <w:rPr>
          <w:rFonts w:ascii="Aptos" w:hAnsi="Aptos" w:eastAsia="Twentieth Century" w:cs="Twentieth Century"/>
          <w:color w:val="1F497D" w:themeColor="text2"/>
          <w:sz w:val="19"/>
          <w:szCs w:val="19"/>
        </w:rPr>
      </w:pPr>
      <w:hyperlink w:history="1" w:anchor="_29:_Demand_reduction">
        <w:r w:rsidRPr="00682E50">
          <w:rPr>
            <w:rStyle w:val="Hyperlink"/>
            <w:rFonts w:ascii="Aptos" w:hAnsi="Aptos" w:eastAsia="Twentieth Century" w:cs="Twentieth Century"/>
            <w:color w:val="1F497D" w:themeColor="text2"/>
            <w:sz w:val="19"/>
            <w:szCs w:val="19"/>
            <w:u w:val="none"/>
          </w:rPr>
          <w:t xml:space="preserve">29 : Réduction de la demande pour lutter contre le commerce illicite (décision 20.39)</w:t>
        </w:r>
      </w:hyperlink>
    </w:p>
    <w:p w:rsidRPr="00682E50" w:rsidR="00682E50" w:rsidP="00682E50" w:rsidRDefault="00682E50" w14:paraId="43894842" w14:textId="5A07005C">
      <w:pPr>
        <w:shd w:val="clear" w:color="auto" w:fill="FFFFFF"/>
        <w:spacing w:line="240" w:lineRule="auto"/>
        <w:ind w:start="180"/>
        <w:rPr>
          <w:rFonts w:ascii="Aptos" w:hAnsi="Aptos" w:eastAsia="Twentieth Century" w:cs="Twentieth Century"/>
          <w:color w:val="1F497D" w:themeColor="text2"/>
          <w:sz w:val="19"/>
          <w:szCs w:val="19"/>
        </w:rPr>
      </w:pPr>
      <w:hyperlink w:history="1" w:anchor="_30:_National_laws">
        <w:r w:rsidRPr="00682E50">
          <w:rPr>
            <w:rStyle w:val="Hyperlink"/>
            <w:rFonts w:ascii="Aptos" w:hAnsi="Aptos" w:eastAsia="Twentieth Century" w:cs="Twentieth Century"/>
            <w:color w:val="1F497D" w:themeColor="text2"/>
            <w:sz w:val="19"/>
            <w:szCs w:val="19"/>
            <w:u w:val="none"/>
          </w:rPr>
          <w:t xml:space="preserve">30 : Législations nationales relatives à la mise en œuvre de la Convention (décisions 20.42 à 20.44)</w:t>
        </w:r>
      </w:hyperlink>
    </w:p>
    <w:p w:rsidRPr="00682E50" w:rsidR="00682E50" w:rsidP="00682E50" w:rsidRDefault="00682E50" w14:paraId="69A2694A" w14:textId="49B34C93">
      <w:pPr>
        <w:shd w:val="clear" w:color="auto" w:fill="FFFFFF"/>
        <w:spacing w:line="240" w:lineRule="auto"/>
        <w:ind w:start="180"/>
        <w:rPr>
          <w:rFonts w:ascii="Aptos" w:hAnsi="Aptos" w:eastAsia="Twentieth Century" w:cs="Twentieth Century"/>
          <w:color w:val="1F497D" w:themeColor="text2"/>
          <w:sz w:val="19"/>
          <w:szCs w:val="19"/>
        </w:rPr>
      </w:pPr>
      <w:hyperlink w:history="1" w:anchor="_32.1:_Implementation_of">
        <w:r w:rsidRPr="00682E50">
          <w:rPr>
            <w:rStyle w:val="Hyperlink"/>
            <w:rFonts w:ascii="Aptos" w:hAnsi="Aptos" w:eastAsia="Twentieth Century" w:cs="Twentieth Century"/>
            <w:color w:val="1F497D" w:themeColor="text2"/>
            <w:sz w:val="19"/>
            <w:szCs w:val="19"/>
            <w:u w:val="none"/>
          </w:rPr>
          <w:t xml:space="preserve">32.1 : Mise en œuvre de l’article XIII et de la résolution Conf. 14.3 (Rev. CoP19) relative aux procédures de conformité de la CITES [résolution Conf. 11.3 (Rev. CoP20), paragraphe 23 c) – e)]</w:t>
        </w:r>
      </w:hyperlink>
    </w:p>
    <w:p w:rsidRPr="00682E50" w:rsidR="00682E50" w:rsidP="00682E50" w:rsidRDefault="00682E50" w14:paraId="16AE1C78" w14:textId="2CD232BE">
      <w:pPr>
        <w:shd w:val="clear" w:color="auto" w:fill="FFFFFF"/>
        <w:spacing w:line="240" w:lineRule="auto"/>
        <w:ind w:start="180"/>
        <w:rPr>
          <w:rFonts w:ascii="Aptos" w:hAnsi="Aptos" w:eastAsia="Twentieth Century" w:cs="Twentieth Century"/>
          <w:color w:val="1F497D" w:themeColor="text2"/>
          <w:sz w:val="19"/>
          <w:szCs w:val="19"/>
        </w:rPr>
      </w:pPr>
      <w:hyperlink w:history="1" w:anchor="_32.2:_Scope_and">
        <w:r w:rsidRPr="00682E50">
          <w:rPr>
            <w:rStyle w:val="Hyperlink"/>
            <w:rFonts w:ascii="Aptos" w:hAnsi="Aptos" w:eastAsia="Twentieth Century" w:cs="Twentieth Century"/>
            <w:color w:val="1F497D" w:themeColor="text2"/>
            <w:sz w:val="19"/>
            <w:szCs w:val="19"/>
            <w:u w:val="none"/>
          </w:rPr>
          <w:t xml:space="preserve">32.2 : Portée et application des recommandations visant à suspendre le commerce (décision 20.46)</w:t>
        </w:r>
      </w:hyperlink>
    </w:p>
    <w:p w:rsidRPr="00682E50" w:rsidR="00682E50" w:rsidP="00682E50" w:rsidRDefault="00682E50" w14:paraId="3086E03E" w14:textId="185FF7D2">
      <w:pPr>
        <w:shd w:val="clear" w:color="auto" w:fill="FFFFFF"/>
        <w:spacing w:line="240" w:lineRule="auto"/>
        <w:ind w:start="180"/>
        <w:rPr>
          <w:rFonts w:ascii="Aptos" w:hAnsi="Aptos" w:eastAsia="Twentieth Century" w:cs="Twentieth Century"/>
          <w:color w:val="1F497D" w:themeColor="text2"/>
          <w:sz w:val="19"/>
          <w:szCs w:val="19"/>
        </w:rPr>
      </w:pPr>
      <w:hyperlink w:history="1" w:anchor="_32.3:_Addressing_compliance">
        <w:r w:rsidRPr="00682E50">
          <w:rPr>
            <w:rStyle w:val="Hyperlink"/>
            <w:rFonts w:ascii="Aptos" w:hAnsi="Aptos" w:eastAsia="Twentieth Century" w:cs="Twentieth Century"/>
            <w:color w:val="1F497D" w:themeColor="text2"/>
            <w:sz w:val="19"/>
            <w:szCs w:val="19"/>
            <w:u w:val="none"/>
          </w:rPr>
          <w:t xml:space="preserve">32.3 : Traitement des questions de conformité par le Comité permanent (décision 20.47)</w:t>
        </w:r>
      </w:hyperlink>
    </w:p>
    <w:p w:rsidRPr="00682E50" w:rsidR="00682E50" w:rsidP="00682E50" w:rsidRDefault="00682E50" w14:paraId="41556A4A" w14:textId="6274B147">
      <w:pPr>
        <w:shd w:val="clear" w:color="auto" w:fill="FFFFFF"/>
        <w:spacing w:line="240" w:lineRule="auto"/>
        <w:ind w:start="180"/>
        <w:rPr>
          <w:rFonts w:ascii="Aptos" w:hAnsi="Aptos" w:eastAsia="Twentieth Century" w:cs="Twentieth Century"/>
          <w:color w:val="1F497D" w:themeColor="text2"/>
          <w:sz w:val="19"/>
          <w:szCs w:val="19"/>
        </w:rPr>
      </w:pPr>
      <w:hyperlink w:history="1" w:anchor="_33.2:_Application_of">
        <w:r w:rsidRPr="164385D1">
          <w:rPr>
            <w:rStyle w:val="Hyperlink"/>
            <w:rFonts w:ascii="Aptos" w:hAnsi="Aptos" w:eastAsia="Twentieth Century" w:cs="Twentieth Century"/>
            <w:color w:val="1F497D" w:themeColor="text2"/>
            <w:sz w:val="19"/>
            <w:szCs w:val="19"/>
            <w:u w:val="none"/>
          </w:rPr>
          <w:t xml:space="preserve">33.2 : Application de l’article XIII au Bangladesh</w:t>
        </w:r>
      </w:hyperlink>
    </w:p>
    <w:p w:rsidRPr="00682E50" w:rsidR="00682E50" w:rsidP="00682E50" w:rsidRDefault="00682E50" w14:paraId="6F5D30F1" w14:textId="21B3EC7C">
      <w:pPr>
        <w:shd w:val="clear" w:color="auto" w:fill="FFFFFF"/>
        <w:spacing w:line="240" w:lineRule="auto"/>
        <w:ind w:start="180"/>
        <w:rPr>
          <w:rFonts w:ascii="Aptos" w:hAnsi="Aptos" w:eastAsia="Twentieth Century" w:cs="Twentieth Century"/>
          <w:color w:val="1F497D" w:themeColor="text2"/>
          <w:sz w:val="19"/>
          <w:szCs w:val="19"/>
        </w:rPr>
      </w:pPr>
      <w:hyperlink w:history="1" w:anchor="_33.5:_Application_of">
        <w:r w:rsidRPr="00682E50">
          <w:rPr>
            <w:rStyle w:val="Hyperlink"/>
            <w:rFonts w:ascii="Aptos" w:hAnsi="Aptos" w:eastAsia="Twentieth Century" w:cs="Twentieth Century"/>
            <w:color w:val="1F497D" w:themeColor="text2"/>
            <w:sz w:val="19"/>
            <w:szCs w:val="19"/>
            <w:u w:val="none"/>
          </w:rPr>
          <w:t xml:space="preserve">33.5 : Application de l’article XIII en République démocratique du Congo</w:t>
        </w:r>
      </w:hyperlink>
    </w:p>
    <w:p w:rsidRPr="00682E50" w:rsidR="00682E50" w:rsidP="00682E50" w:rsidRDefault="00682E50" w14:paraId="652B72DA" w14:textId="4B6A42F8">
      <w:pPr>
        <w:shd w:val="clear" w:color="auto" w:fill="FFFFFF"/>
        <w:spacing w:line="240" w:lineRule="auto"/>
        <w:ind w:start="180"/>
        <w:rPr>
          <w:rFonts w:ascii="Aptos" w:hAnsi="Aptos" w:eastAsia="Twentieth Century" w:cs="Twentieth Century"/>
          <w:color w:val="1F497D" w:themeColor="text2"/>
          <w:sz w:val="19"/>
          <w:szCs w:val="19"/>
        </w:rPr>
      </w:pPr>
      <w:hyperlink w:history="1" w:anchor="_33.6:_Application_of">
        <w:r w:rsidRPr="00682E50">
          <w:rPr>
            <w:rStyle w:val="Hyperlink"/>
            <w:rFonts w:ascii="Aptos" w:hAnsi="Aptos" w:eastAsia="Twentieth Century" w:cs="Twentieth Century"/>
            <w:color w:val="1F497D" w:themeColor="text2"/>
            <w:sz w:val="19"/>
            <w:szCs w:val="19"/>
            <w:u w:val="none"/>
          </w:rPr>
          <w:t xml:space="preserve">33.6 : Application de l’article XIII en Équateur et au Pérou</w:t>
        </w:r>
        <w:r w:rsidRPr="00682E50">
          <w:rPr>
            <w:rStyle w:val="Hyperlink"/>
            <w:rFonts w:ascii="Aptos" w:hAnsi="Aptos" w:eastAsia="Twentieth Century" w:cs="Twentieth Century"/>
            <w:color w:val="1F497D" w:themeColor="text2"/>
            <w:sz w:val="19"/>
            <w:szCs w:val="19"/>
            <w:u w:val="none"/>
          </w:rPr>
          <w:tab/>
        </w:r>
      </w:hyperlink>
    </w:p>
    <w:p w:rsidRPr="00682E50" w:rsidR="00682E50" w:rsidP="00682E50" w:rsidRDefault="00682E50" w14:paraId="4EE20536" w14:textId="3703D33E">
      <w:pPr>
        <w:shd w:val="clear" w:color="auto" w:fill="FFFFFF"/>
        <w:spacing w:line="240" w:lineRule="auto"/>
        <w:ind w:start="180"/>
        <w:rPr>
          <w:rFonts w:ascii="Aptos" w:hAnsi="Aptos" w:eastAsia="Twentieth Century" w:cs="Twentieth Century"/>
          <w:color w:val="1F497D" w:themeColor="text2"/>
          <w:sz w:val="19"/>
          <w:szCs w:val="19"/>
        </w:rPr>
      </w:pPr>
      <w:hyperlink w:history="1" w:anchor="_33.8._Application_of_1">
        <w:r w:rsidRPr="00682E50">
          <w:rPr>
            <w:rStyle w:val="Hyperlink"/>
            <w:rFonts w:ascii="Aptos" w:hAnsi="Aptos" w:eastAsia="Twentieth Century" w:cs="Twentieth Century"/>
            <w:color w:val="1F497D" w:themeColor="text2"/>
            <w:sz w:val="19"/>
            <w:szCs w:val="19"/>
            <w:u w:val="none"/>
          </w:rPr>
          <w:t xml:space="preserve">33.8. Application de l’article XIII en Inde</w:t>
        </w:r>
      </w:hyperlink>
    </w:p>
    <w:p w:rsidRPr="00682E50" w:rsidR="00682E50" w:rsidP="00682E50" w:rsidRDefault="00682E50" w14:paraId="4FEED7A9" w14:textId="4DEB31BC">
      <w:pPr>
        <w:shd w:val="clear" w:color="auto" w:fill="FFFFFF"/>
        <w:spacing w:line="240" w:lineRule="auto"/>
        <w:ind w:start="180"/>
        <w:rPr>
          <w:rFonts w:ascii="Aptos" w:hAnsi="Aptos" w:eastAsia="Twentieth Century" w:cs="Twentieth Century"/>
          <w:color w:val="1F497D" w:themeColor="text2"/>
          <w:sz w:val="19"/>
          <w:szCs w:val="19"/>
        </w:rPr>
      </w:pPr>
      <w:hyperlink w:history="1" w:anchor="_33.9:_Application_of">
        <w:r w:rsidRPr="00682E50">
          <w:rPr>
            <w:rStyle w:val="Hyperlink"/>
            <w:rFonts w:ascii="Aptos" w:hAnsi="Aptos" w:eastAsia="Twentieth Century" w:cs="Twentieth Century"/>
            <w:color w:val="1F497D" w:themeColor="text2"/>
            <w:sz w:val="19"/>
            <w:szCs w:val="19"/>
            <w:u w:val="none"/>
          </w:rPr>
          <w:t xml:space="preserve">33.9 : Application de l'article XIII en République démocratique populaire lao</w:t>
        </w:r>
      </w:hyperlink>
    </w:p>
    <w:p w:rsidRPr="00682E50" w:rsidR="00682E50" w:rsidP="00682E50" w:rsidRDefault="00682E50" w14:paraId="18D44F94" w14:textId="280B7ABD">
      <w:pPr>
        <w:shd w:val="clear" w:color="auto" w:fill="FFFFFF"/>
        <w:spacing w:line="240" w:lineRule="auto"/>
        <w:ind w:start="180"/>
        <w:rPr>
          <w:rFonts w:ascii="Aptos" w:hAnsi="Aptos" w:eastAsia="Twentieth Century" w:cs="Twentieth Century"/>
          <w:color w:val="1F497D" w:themeColor="text2"/>
          <w:sz w:val="19"/>
          <w:szCs w:val="19"/>
        </w:rPr>
      </w:pPr>
      <w:hyperlink w:history="1" w:anchor="_33.10:_Application_of">
        <w:r w:rsidRPr="00682E50">
          <w:rPr>
            <w:rStyle w:val="Hyperlink"/>
            <w:rFonts w:ascii="Aptos" w:hAnsi="Aptos" w:eastAsia="Twentieth Century" w:cs="Twentieth Century"/>
            <w:color w:val="1F497D" w:themeColor="text2"/>
            <w:sz w:val="19"/>
            <w:szCs w:val="19"/>
            <w:u w:val="none"/>
          </w:rPr>
          <w:t xml:space="preserve">33.10 : Application de l’article XIII au Nigeria</w:t>
        </w:r>
      </w:hyperlink>
    </w:p>
    <w:p w:rsidRPr="00682E50" w:rsidR="00682E50" w:rsidP="00682E50" w:rsidRDefault="00682E50" w14:paraId="558E1944" w14:textId="1863ADCD">
      <w:pPr>
        <w:shd w:val="clear" w:color="auto" w:fill="FFFFFF"/>
        <w:spacing w:line="240" w:lineRule="auto"/>
        <w:ind w:start="180"/>
        <w:rPr>
          <w:rFonts w:ascii="Aptos" w:hAnsi="Aptos" w:eastAsia="Twentieth Century" w:cs="Twentieth Century"/>
          <w:color w:val="1F497D" w:themeColor="text2"/>
          <w:sz w:val="19"/>
          <w:szCs w:val="19"/>
        </w:rPr>
      </w:pPr>
      <w:hyperlink w:history="1" w:anchor="_34.1:_Implementation_of">
        <w:r w:rsidRPr="00682E50">
          <w:rPr>
            <w:rStyle w:val="Hyperlink"/>
            <w:rFonts w:ascii="Aptos" w:hAnsi="Aptos" w:eastAsia="Twentieth Century" w:cs="Twentieth Century"/>
            <w:color w:val="1F497D" w:themeColor="text2"/>
            <w:sz w:val="19"/>
            <w:szCs w:val="19"/>
            <w:u w:val="none"/>
          </w:rPr>
          <w:t xml:space="preserve">34.1 : Mise en œuvre du processus des plans d’action nationaux sur l’ivoire [(Résolution Conf. 10.10 (Rev. CoP20), annexe 3)]</w:t>
        </w:r>
      </w:hyperlink>
    </w:p>
    <w:p w:rsidRPr="00682E50" w:rsidR="00682E50" w:rsidP="00682E50" w:rsidRDefault="00682E50" w14:paraId="476C38A5" w14:textId="52C71A76">
      <w:pPr>
        <w:shd w:val="clear" w:color="auto" w:fill="FFFFFF"/>
        <w:spacing w:line="240" w:lineRule="auto"/>
        <w:ind w:start="180"/>
        <w:rPr>
          <w:rFonts w:ascii="Aptos" w:hAnsi="Aptos" w:eastAsia="Twentieth Century" w:cs="Twentieth Century"/>
          <w:color w:val="1F497D" w:themeColor="text2"/>
          <w:sz w:val="19"/>
          <w:szCs w:val="19"/>
        </w:rPr>
      </w:pPr>
      <w:hyperlink w:history="1" w:anchor="_34.2:_Review_of">
        <w:r w:rsidRPr="00682E50">
          <w:rPr>
            <w:rStyle w:val="Hyperlink"/>
            <w:rFonts w:ascii="Aptos" w:hAnsi="Aptos" w:eastAsia="Twentieth Century" w:cs="Twentieth Century"/>
            <w:color w:val="1F497D" w:themeColor="text2"/>
            <w:sz w:val="19"/>
            <w:szCs w:val="19"/>
            <w:u w:val="none"/>
          </w:rPr>
          <w:t xml:space="preserve">34.2 : Examen du processus des plans d’action nationaux sur l’ivoire (décision 20.101)</w:t>
        </w:r>
      </w:hyperlink>
    </w:p>
    <w:p w:rsidRPr="00682E50" w:rsidR="00682E50" w:rsidP="00682E50" w:rsidRDefault="00682E50" w14:paraId="1DC5DDD9" w14:textId="43566B4A">
      <w:pPr>
        <w:shd w:val="clear" w:color="auto" w:fill="FFFFFF"/>
        <w:spacing w:line="240" w:lineRule="auto"/>
        <w:ind w:start="180"/>
        <w:rPr>
          <w:rFonts w:ascii="Aptos" w:hAnsi="Aptos" w:eastAsia="Twentieth Century" w:cs="Twentieth Century"/>
          <w:color w:val="1F497D" w:themeColor="text2"/>
          <w:sz w:val="19"/>
          <w:szCs w:val="19"/>
        </w:rPr>
      </w:pPr>
      <w:hyperlink w:history="1" w:anchor="_34.4:_Guidance_on">
        <w:r w:rsidRPr="5403C073">
          <w:rPr>
            <w:rStyle w:val="Hyperlink"/>
            <w:rFonts w:ascii="Aptos" w:hAnsi="Aptos" w:eastAsia="Twentieth Century" w:cs="Twentieth Century"/>
            <w:color w:val="1F497D" w:themeColor="text2"/>
            <w:sz w:val="19"/>
            <w:szCs w:val="19"/>
            <w:u w:val="none"/>
          </w:rPr>
          <w:t xml:space="preserve">34.4 : Orientations sur les mesures de conformité spécifiques à chaque Partie, fondées sur le rapport de l’ETIS (décision 20.102)</w:t>
        </w:r>
      </w:hyperlink>
    </w:p>
    <w:p w:rsidRPr="00682E50" w:rsidR="00682E50" w:rsidP="00682E50" w:rsidRDefault="00682E50" w14:paraId="085C653F" w14:textId="705B4C16">
      <w:pPr>
        <w:shd w:val="clear" w:color="auto" w:fill="FFFFFF"/>
        <w:spacing w:line="240" w:lineRule="auto"/>
        <w:ind w:start="180"/>
        <w:rPr>
          <w:rFonts w:ascii="Aptos" w:hAnsi="Aptos" w:eastAsia="Twentieth Century" w:cs="Twentieth Century"/>
          <w:color w:val="1F497D" w:themeColor="text2"/>
          <w:sz w:val="19"/>
          <w:szCs w:val="19"/>
        </w:rPr>
      </w:pPr>
      <w:hyperlink w:history="1" w:anchor="_36.1:_Overview_of">
        <w:r w:rsidRPr="00682E50">
          <w:rPr>
            <w:rStyle w:val="Hyperlink"/>
            <w:rFonts w:ascii="Aptos" w:hAnsi="Aptos" w:eastAsia="Twentieth Century" w:cs="Twentieth Century"/>
            <w:color w:val="1F497D" w:themeColor="text2"/>
            <w:sz w:val="19"/>
            <w:szCs w:val="19"/>
            <w:u w:val="none"/>
          </w:rPr>
          <w:t xml:space="preserve">36.1 : Aperçu de l’examen du commerce des spécimens d’animaux déclarés comme ayant été produits en captivité</w:t>
        </w:r>
      </w:hyperlink>
    </w:p>
    <w:p w:rsidRPr="00682E50" w:rsidR="00682E50" w:rsidP="00682E50" w:rsidRDefault="00682E50" w14:paraId="5CEACA58" w14:textId="3E158311">
      <w:pPr>
        <w:shd w:val="clear" w:color="auto" w:fill="FFFFFF"/>
        <w:spacing w:line="240" w:lineRule="auto"/>
        <w:ind w:start="180"/>
        <w:rPr>
          <w:rFonts w:ascii="Aptos" w:hAnsi="Aptos" w:eastAsia="Twentieth Century" w:cs="Twentieth Century"/>
          <w:color w:val="1F497D" w:themeColor="text2"/>
          <w:sz w:val="19"/>
          <w:szCs w:val="19"/>
        </w:rPr>
      </w:pPr>
      <w:hyperlink w:history="1" w:anchor="_37.2._International_Consortium_1">
        <w:r w:rsidRPr="00682E50">
          <w:rPr>
            <w:rStyle w:val="Hyperlink"/>
            <w:rFonts w:ascii="Aptos" w:hAnsi="Aptos" w:eastAsia="Twentieth Century" w:cs="Twentieth Century"/>
            <w:color w:val="1F497D" w:themeColor="text2"/>
            <w:sz w:val="19"/>
            <w:szCs w:val="19"/>
            <w:u w:val="none"/>
          </w:rPr>
          <w:t xml:space="preserve">37.2. Consortium international de lutte contre la criminalité liée aux espèces sauvages</w:t>
        </w:r>
      </w:hyperlink>
    </w:p>
    <w:p w:rsidRPr="00682E50" w:rsidR="00682E50" w:rsidP="00682E50" w:rsidRDefault="00682E50" w14:paraId="36618090" w14:textId="30B6874F">
      <w:pPr>
        <w:shd w:val="clear" w:color="auto" w:fill="FFFFFF"/>
        <w:spacing w:line="240" w:lineRule="auto"/>
        <w:ind w:start="180"/>
        <w:rPr>
          <w:rFonts w:ascii="Aptos" w:hAnsi="Aptos" w:eastAsia="Twentieth Century" w:cs="Twentieth Century"/>
          <w:color w:val="1F497D" w:themeColor="text2"/>
          <w:sz w:val="19"/>
          <w:szCs w:val="19"/>
        </w:rPr>
      </w:pPr>
      <w:hyperlink w:history="1" w:anchor="_37.3_Wildlife_crime">
        <w:r w:rsidRPr="00682E50">
          <w:rPr>
            <w:rStyle w:val="Hyperlink"/>
            <w:rFonts w:ascii="Aptos" w:hAnsi="Aptos" w:eastAsia="Twentieth Century" w:cs="Twentieth Century"/>
            <w:color w:val="1F497D" w:themeColor="text2"/>
            <w:sz w:val="19"/>
            <w:szCs w:val="19"/>
            <w:u w:val="none"/>
          </w:rPr>
          <w:t xml:space="preserve">37.3 : Criminalité liée aux espèces sauvages sur Internet (décision 20.62)</w:t>
        </w:r>
      </w:hyperlink>
    </w:p>
    <w:p w:rsidRPr="00682E50" w:rsidR="00682E50" w:rsidP="00682E50" w:rsidRDefault="00682E50" w14:paraId="558DF20C" w14:textId="0A9CEDBF">
      <w:pPr>
        <w:shd w:val="clear" w:color="auto" w:fill="FFFFFF"/>
        <w:spacing w:line="240" w:lineRule="auto"/>
        <w:ind w:start="180"/>
        <w:rPr>
          <w:rFonts w:ascii="Aptos" w:hAnsi="Aptos" w:eastAsia="Twentieth Century" w:cs="Twentieth Century"/>
          <w:color w:val="1F497D" w:themeColor="text2"/>
          <w:sz w:val="19"/>
          <w:szCs w:val="19"/>
        </w:rPr>
      </w:pPr>
      <w:hyperlink w:history="1" w:anchor="_39._Rhinoceroses_(Rhinocerotidae">
        <w:r w:rsidRPr="00682E50">
          <w:rPr>
            <w:rStyle w:val="Hyperlink"/>
            <w:rFonts w:ascii="Aptos" w:hAnsi="Aptos" w:eastAsia="Twentieth Century" w:cs="Twentieth Century"/>
            <w:color w:val="1F497D" w:themeColor="text2"/>
            <w:sz w:val="19"/>
            <w:szCs w:val="19"/>
            <w:u w:val="none"/>
          </w:rPr>
          <w:t xml:space="preserve">39. Rhinocéros (</w:t>
        </w:r>
        <w:r w:rsidRPr="00682E50">
          <w:rPr>
            <w:rStyle w:val="Hyperlink"/>
            <w:rFonts w:ascii="Aptos" w:hAnsi="Aptos" w:eastAsia="Twentieth Century" w:cs="Twentieth Century"/>
            <w:color w:val="1F497D" w:themeColor="text2"/>
            <w:sz w:val="19"/>
            <w:szCs w:val="19"/>
            <w:u w:val="none"/>
          </w:rPr>
          <w:t xml:space="preserve">Rhinocerotidae </w:t>
        </w:r>
        <w:r w:rsidRPr="00682E50">
          <w:rPr>
            <w:rStyle w:val="Hyperlink"/>
            <w:rFonts w:ascii="Aptos" w:hAnsi="Aptos" w:eastAsia="Twentieth Century" w:cs="Twentieth Century"/>
            <w:color w:val="1F497D" w:themeColor="text2"/>
            <w:sz w:val="19"/>
            <w:szCs w:val="19"/>
            <w:u w:val="none"/>
          </w:rPr>
          <w:t xml:space="preserve">spp.) (Décision 20.84)</w:t>
        </w:r>
      </w:hyperlink>
    </w:p>
    <w:p w:rsidRPr="00682E50" w:rsidR="00682E50" w:rsidP="00682E50" w:rsidRDefault="00682E50" w14:paraId="418B991D" w14:textId="453454A7">
      <w:pPr>
        <w:shd w:val="clear" w:color="auto" w:fill="FFFFFF"/>
        <w:spacing w:line="240" w:lineRule="auto"/>
        <w:ind w:start="180"/>
        <w:rPr>
          <w:rFonts w:ascii="Aptos" w:hAnsi="Aptos" w:eastAsia="Twentieth Century" w:cs="Twentieth Century"/>
          <w:color w:val="1F497D" w:themeColor="text2"/>
          <w:sz w:val="19"/>
          <w:szCs w:val="19"/>
        </w:rPr>
      </w:pPr>
      <w:hyperlink w:history="1" w:anchor="_40._Tortoises_and">
        <w:r w:rsidRPr="00682E50">
          <w:rPr>
            <w:rStyle w:val="Hyperlink"/>
            <w:rFonts w:ascii="Aptos" w:hAnsi="Aptos" w:eastAsia="Twentieth Century" w:cs="Twentieth Century"/>
            <w:color w:val="1F497D" w:themeColor="text2"/>
            <w:sz w:val="19"/>
            <w:szCs w:val="19"/>
            <w:u w:val="none"/>
          </w:rPr>
          <w:t xml:space="preserve">40. Tortues terrestres et d’eau douce (Testudines spp.) de Madagascar (décision 20.91)</w:t>
        </w:r>
      </w:hyperlink>
    </w:p>
    <w:p w:rsidRPr="00682E50" w:rsidR="00682E50" w:rsidP="00682E50" w:rsidRDefault="00682E50" w14:paraId="237DD6D0" w14:textId="2A25C97A">
      <w:pPr>
        <w:shd w:val="clear" w:color="auto" w:fill="FFFFFF"/>
        <w:spacing w:line="240" w:lineRule="auto"/>
        <w:ind w:start="180"/>
        <w:rPr>
          <w:rFonts w:ascii="Aptos" w:hAnsi="Aptos" w:eastAsia="Twentieth Century" w:cs="Twentieth Century"/>
          <w:color w:val="1F497D" w:themeColor="text2"/>
          <w:sz w:val="19"/>
          <w:szCs w:val="19"/>
        </w:rPr>
      </w:pPr>
      <w:hyperlink w:history="1" w:anchor="_41._Implementation_of">
        <w:r w:rsidRPr="00682E50">
          <w:rPr>
            <w:rStyle w:val="Hyperlink"/>
            <w:rFonts w:ascii="Aptos" w:hAnsi="Aptos" w:eastAsia="Twentieth Century" w:cs="Twentieth Century"/>
            <w:color w:val="1F497D" w:themeColor="text2"/>
            <w:sz w:val="19"/>
            <w:szCs w:val="19"/>
            <w:u w:val="none"/>
          </w:rPr>
          <w:t xml:space="preserve">41. Mise en œuvre des recommandations issues de l’examen du </w:t>
        </w:r>
        <w:r w:rsidRPr="00682E50">
          <w:rPr>
            <w:rStyle w:val="Hyperlink"/>
            <w:rFonts w:ascii="Aptos" w:hAnsi="Aptos" w:eastAsia="Twentieth Century" w:cs="Twentieth Century"/>
            <w:color w:val="1F497D" w:themeColor="text2"/>
            <w:sz w:val="19"/>
            <w:szCs w:val="19"/>
            <w:u w:val="none"/>
          </w:rPr>
          <w:t xml:space="preserve">programme</w:t>
        </w:r>
        <w:r w:rsidRPr="00682E50">
          <w:rPr>
            <w:rStyle w:val="Hyperlink"/>
            <w:rFonts w:ascii="Aptos" w:hAnsi="Aptos" w:eastAsia="Twentieth Century" w:cs="Twentieth Century"/>
            <w:color w:val="1F497D" w:themeColor="text2"/>
            <w:sz w:val="19"/>
            <w:szCs w:val="19"/>
            <w:u w:val="none"/>
          </w:rPr>
          <w:t xml:space="preserve"> ETIS </w:t>
        </w:r>
        <w:r w:rsidRPr="00682E50">
          <w:rPr>
            <w:rStyle w:val="Hyperlink"/>
            <w:rFonts w:ascii="Aptos" w:hAnsi="Aptos" w:eastAsia="Twentieth Century" w:cs="Twentieth Century"/>
            <w:color w:val="1F497D" w:themeColor="text2"/>
            <w:sz w:val="19"/>
            <w:szCs w:val="19"/>
            <w:u w:val="none"/>
          </w:rPr>
          <w:t xml:space="preserve">(décisions 19.96, 20.94, 20.98 et 20.103)</w:t>
        </w:r>
      </w:hyperlink>
    </w:p>
    <w:p w:rsidRPr="00682E50" w:rsidR="00682E50" w:rsidP="00682E50" w:rsidRDefault="00682E50" w14:paraId="2DA6A4E8" w14:textId="0362B10D">
      <w:pPr>
        <w:shd w:val="clear" w:color="auto" w:fill="FFFFFF"/>
        <w:spacing w:line="240" w:lineRule="auto"/>
        <w:ind w:start="180"/>
        <w:rPr>
          <w:rFonts w:ascii="Aptos" w:hAnsi="Aptos" w:eastAsia="Twentieth Century" w:cs="Twentieth Century"/>
          <w:color w:val="1F497D" w:themeColor="text2"/>
          <w:sz w:val="19"/>
          <w:szCs w:val="19"/>
        </w:rPr>
      </w:pPr>
      <w:hyperlink w:history="1" w:anchor="_43._Legal_acquisition">
        <w:r w:rsidRPr="00682E50">
          <w:rPr>
            <w:rStyle w:val="Hyperlink"/>
            <w:rFonts w:ascii="Aptos" w:hAnsi="Aptos" w:eastAsia="Twentieth Century" w:cs="Twentieth Century"/>
            <w:color w:val="1F497D" w:themeColor="text2"/>
            <w:sz w:val="19"/>
            <w:szCs w:val="19"/>
            <w:u w:val="none"/>
          </w:rPr>
          <w:t xml:space="preserve">43. Conclusions relatives à l’acquisition légale</w:t>
        </w:r>
      </w:hyperlink>
    </w:p>
    <w:p w:rsidRPr="00682E50" w:rsidR="00682E50" w:rsidP="00682E50" w:rsidRDefault="00682E50" w14:paraId="6D112CB9" w14:textId="2F329173">
      <w:pPr>
        <w:shd w:val="clear" w:color="auto" w:fill="FFFFFF"/>
        <w:spacing w:line="240" w:lineRule="auto"/>
        <w:ind w:start="180"/>
        <w:rPr>
          <w:rFonts w:ascii="Aptos" w:hAnsi="Aptos" w:eastAsia="Twentieth Century" w:cs="Twentieth Century"/>
          <w:color w:val="1F497D" w:themeColor="text2"/>
          <w:sz w:val="19"/>
          <w:szCs w:val="19"/>
        </w:rPr>
      </w:pPr>
      <w:hyperlink w:history="1" w:anchor="_43.1._Report_of">
        <w:r w:rsidRPr="00682E50">
          <w:rPr>
            <w:rStyle w:val="Hyperlink"/>
            <w:rFonts w:ascii="Aptos" w:hAnsi="Aptos" w:eastAsia="Twentieth Century" w:cs="Twentieth Century"/>
            <w:color w:val="1F497D" w:themeColor="text2"/>
            <w:sz w:val="19"/>
            <w:szCs w:val="19"/>
            <w:u w:val="none"/>
          </w:rPr>
          <w:t xml:space="preserve">43.1. Rapport du groupe de travail (Décision 20.112)</w:t>
        </w:r>
      </w:hyperlink>
    </w:p>
    <w:p w:rsidRPr="00682E50" w:rsidR="00682E50" w:rsidP="00682E50" w:rsidRDefault="00682E50" w14:paraId="46EDAA3F" w14:textId="0B928A39">
      <w:pPr>
        <w:shd w:val="clear" w:color="auto" w:fill="FFFFFF"/>
        <w:spacing w:line="240" w:lineRule="auto"/>
        <w:ind w:start="180"/>
        <w:rPr>
          <w:rFonts w:ascii="Aptos" w:hAnsi="Aptos" w:eastAsia="Twentieth Century" w:cs="Twentieth Century"/>
          <w:color w:val="1F497D" w:themeColor="text2"/>
          <w:sz w:val="19"/>
          <w:szCs w:val="19"/>
        </w:rPr>
      </w:pPr>
      <w:hyperlink w:history="1" w:anchor="_43.2._Report_of">
        <w:r w:rsidRPr="00682E50">
          <w:rPr>
            <w:rStyle w:val="Hyperlink"/>
            <w:rFonts w:ascii="Aptos" w:hAnsi="Aptos" w:eastAsia="Twentieth Century" w:cs="Twentieth Century"/>
            <w:color w:val="1F497D" w:themeColor="text2"/>
            <w:sz w:val="19"/>
            <w:szCs w:val="19"/>
            <w:u w:val="none"/>
          </w:rPr>
          <w:t xml:space="preserve">43.2. Rapport du Secrétariat (décision 20.110)</w:t>
        </w:r>
      </w:hyperlink>
    </w:p>
    <w:p w:rsidRPr="00682E50" w:rsidR="00682E50" w:rsidP="00682E50" w:rsidRDefault="00682E50" w14:paraId="26A90216" w14:textId="4727E92F">
      <w:pPr>
        <w:shd w:val="clear" w:color="auto" w:fill="FFFFFF"/>
        <w:spacing w:line="240" w:lineRule="auto"/>
        <w:ind w:start="180"/>
        <w:rPr>
          <w:rFonts w:ascii="Aptos" w:hAnsi="Aptos" w:eastAsia="Twentieth Century" w:cs="Twentieth Century"/>
          <w:color w:val="1F497D" w:themeColor="text2"/>
          <w:sz w:val="19"/>
          <w:szCs w:val="19"/>
        </w:rPr>
      </w:pPr>
      <w:hyperlink w:history="1" w:anchor="_46._Guidance_related">
        <w:r w:rsidRPr="00682E50">
          <w:rPr>
            <w:rStyle w:val="Hyperlink"/>
            <w:rFonts w:ascii="Aptos" w:hAnsi="Aptos" w:eastAsia="Twentieth Century" w:cs="Twentieth Century"/>
            <w:color w:val="1F497D" w:themeColor="text2"/>
            <w:sz w:val="19"/>
            <w:szCs w:val="19"/>
            <w:u w:val="none"/>
          </w:rPr>
          <w:t xml:space="preserve">46. Orientations relatives aux périodes de transition (décision 20.119)</w:t>
        </w:r>
      </w:hyperlink>
    </w:p>
    <w:p w:rsidRPr="00682E50" w:rsidR="00682E50" w:rsidP="00682E50" w:rsidRDefault="00682E50" w14:paraId="3CC1DF9B" w14:textId="3345A4C2">
      <w:pPr>
        <w:shd w:val="clear" w:color="auto" w:fill="FFFFFF"/>
        <w:spacing w:line="240" w:lineRule="auto"/>
        <w:ind w:start="180"/>
        <w:rPr>
          <w:rFonts w:ascii="Aptos" w:hAnsi="Aptos" w:eastAsia="Twentieth Century" w:cs="Twentieth Century"/>
          <w:color w:val="1F497D" w:themeColor="text2"/>
          <w:sz w:val="19"/>
          <w:szCs w:val="19"/>
        </w:rPr>
      </w:pPr>
      <w:hyperlink w:history="1" w:anchor="_48._Electronic_systems">
        <w:r w:rsidRPr="00682E50">
          <w:rPr>
            <w:rStyle w:val="Hyperlink"/>
            <w:rFonts w:ascii="Aptos" w:hAnsi="Aptos" w:eastAsia="Twentieth Century" w:cs="Twentieth Century"/>
            <w:color w:val="1F497D" w:themeColor="text2"/>
            <w:sz w:val="19"/>
            <w:szCs w:val="19"/>
            <w:u w:val="none"/>
          </w:rPr>
          <w:t xml:space="preserve">48. Systèmes électroniques et technologies de l’information (décision 20.128)</w:t>
        </w:r>
      </w:hyperlink>
    </w:p>
    <w:p w:rsidRPr="00682E50" w:rsidR="00682E50" w:rsidP="00682E50" w:rsidRDefault="00682E50" w14:paraId="74AC2070" w14:textId="43A6B396">
      <w:pPr>
        <w:shd w:val="clear" w:color="auto" w:fill="FFFFFF"/>
        <w:spacing w:line="240" w:lineRule="auto"/>
        <w:ind w:start="180"/>
        <w:rPr>
          <w:rFonts w:ascii="Aptos" w:hAnsi="Aptos" w:eastAsia="Twentieth Century" w:cs="Twentieth Century"/>
          <w:color w:val="1F497D" w:themeColor="text2"/>
          <w:sz w:val="19"/>
          <w:szCs w:val="19"/>
        </w:rPr>
      </w:pPr>
      <w:hyperlink w:history="1" w:anchor="_51._Specimens_produced">
        <w:r w:rsidRPr="00682E50">
          <w:rPr>
            <w:rStyle w:val="Hyperlink"/>
            <w:rFonts w:ascii="Aptos" w:hAnsi="Aptos" w:eastAsia="Twentieth Century" w:cs="Twentieth Century"/>
            <w:color w:val="1F497D" w:themeColor="text2"/>
            <w:sz w:val="19"/>
            <w:szCs w:val="19"/>
            <w:u w:val="none"/>
          </w:rPr>
          <w:t xml:space="preserve">51. Spécimens issus de la biotechnologie [Décision 19.161 (Rev. CoP20)]</w:t>
        </w:r>
      </w:hyperlink>
    </w:p>
    <w:p w:rsidRPr="00682E50" w:rsidR="00682E50" w:rsidP="00682E50" w:rsidRDefault="00682E50" w14:paraId="6B7F1226" w14:textId="6797DA73">
      <w:pPr>
        <w:shd w:val="clear" w:color="auto" w:fill="FFFFFF"/>
        <w:spacing w:line="240" w:lineRule="auto"/>
        <w:ind w:start="180"/>
        <w:rPr>
          <w:rFonts w:ascii="Aptos" w:hAnsi="Aptos" w:eastAsia="Twentieth Century" w:cs="Twentieth Century"/>
          <w:color w:val="1F497D" w:themeColor="text2"/>
          <w:sz w:val="19"/>
          <w:szCs w:val="19"/>
        </w:rPr>
      </w:pPr>
      <w:hyperlink w:history="1" w:anchor="_53.2._Registration_of">
        <w:r w:rsidRPr="00682E50">
          <w:rPr>
            <w:rStyle w:val="Hyperlink"/>
            <w:rFonts w:ascii="Aptos" w:hAnsi="Aptos" w:eastAsia="Twentieth Century" w:cs="Twentieth Century"/>
            <w:color w:val="1F497D" w:themeColor="text2"/>
            <w:sz w:val="19"/>
            <w:szCs w:val="19"/>
            <w:u w:val="none"/>
          </w:rPr>
          <w:t xml:space="preserve">53.2. Enregistrement de l’opération « Special Turtles » (Italie) </w:t>
        </w:r>
      </w:hyperlink>
    </w:p>
    <w:p w:rsidRPr="00682E50" w:rsidR="00682E50" w:rsidP="00682E50" w:rsidRDefault="00682E50" w14:paraId="04E8387D" w14:textId="0067BE50">
      <w:pPr>
        <w:shd w:val="clear" w:color="auto" w:fill="FFFFFF"/>
        <w:spacing w:line="240" w:lineRule="auto"/>
        <w:ind w:start="180"/>
        <w:rPr>
          <w:rFonts w:ascii="Aptos" w:hAnsi="Aptos" w:eastAsia="Twentieth Century" w:cs="Twentieth Century"/>
          <w:color w:val="1F497D" w:themeColor="text2"/>
          <w:sz w:val="19"/>
          <w:szCs w:val="19"/>
        </w:rPr>
      </w:pPr>
      <w:hyperlink w:history="1" w:anchor="_55._Trade_in">
        <w:r w:rsidRPr="00682E50">
          <w:rPr>
            <w:rStyle w:val="Hyperlink"/>
            <w:rFonts w:ascii="Aptos" w:hAnsi="Aptos" w:eastAsia="Twentieth Century" w:cs="Twentieth Century"/>
            <w:color w:val="1F497D" w:themeColor="text2"/>
            <w:sz w:val="19"/>
            <w:szCs w:val="19"/>
            <w:u w:val="none"/>
          </w:rPr>
          <w:t xml:space="preserve">55. Commerce d’espèces endémiques menacées (décision 20.151)</w:t>
        </w:r>
      </w:hyperlink>
    </w:p>
    <w:p w:rsidRPr="00682E50" w:rsidR="00682E50" w:rsidP="00682E50" w:rsidRDefault="00682E50" w14:paraId="5BCBD07A" w14:textId="5DD65AB9">
      <w:pPr>
        <w:shd w:val="clear" w:color="auto" w:fill="FFFFFF"/>
        <w:spacing w:line="240" w:lineRule="auto"/>
        <w:ind w:start="180"/>
        <w:rPr>
          <w:rFonts w:ascii="Aptos" w:hAnsi="Aptos" w:eastAsia="Twentieth Century" w:cs="Twentieth Century"/>
          <w:color w:val="1F497D" w:themeColor="text2"/>
          <w:sz w:val="19"/>
          <w:szCs w:val="19"/>
        </w:rPr>
      </w:pPr>
      <w:hyperlink w:history="1" w:anchor="56. Elephants (Elephantidae spp.): Report of the Secretariat on the implementation of Resolution Conf. 10.10 (Rev. CoP20) [Resolution Conf. 10.10 (Rev. CoP20) paragraphs 12), 19) and Decisions 19.36, 18.117 (Rev. CoP20), 18.185 (Rev. CoP20), 20.104 &amp; 20.1">
        <w:r w:rsidRPr="00682E50">
          <w:rPr>
            <w:rStyle w:val="Hyperlink"/>
            <w:rFonts w:ascii="Aptos" w:hAnsi="Aptos" w:eastAsia="Twentieth Century" w:cs="Twentieth Century"/>
            <w:color w:val="1F497D" w:themeColor="text2"/>
            <w:sz w:val="19"/>
            <w:szCs w:val="19"/>
            <w:u w:val="none"/>
          </w:rPr>
          <w:t xml:space="preserve">56. Éléphants (Elephantidae spp.) : Rapport du Secrétariat sur la mise en œuvre de la résolution Conf. 10.10 (rév. CoP20) [Résolution Conf. 10.10 (Rev. CoP20), paragraphes 12) et 19), et décisions 19.36, 18.117 (Rev. CoP20), 18.185 (Rev. CoP20), 20.104 et 20.1</w:t>
        </w:r>
      </w:hyperlink>
    </w:p>
    <w:p w:rsidRPr="00682E50" w:rsidR="00682E50" w:rsidP="00682E50" w:rsidRDefault="00682E50" w14:paraId="3509B395" w14:textId="1E044325">
      <w:pPr>
        <w:shd w:val="clear" w:color="auto" w:fill="FFFFFF"/>
        <w:spacing w:line="240" w:lineRule="auto"/>
        <w:ind w:start="180"/>
        <w:rPr>
          <w:rFonts w:ascii="Aptos" w:hAnsi="Aptos" w:eastAsia="Twentieth Century" w:cs="Twentieth Century"/>
          <w:color w:val="1F497D" w:themeColor="text2"/>
          <w:sz w:val="19"/>
          <w:szCs w:val="19"/>
        </w:rPr>
      </w:pPr>
      <w:hyperlink w:history="1" w:anchor="_57._Jaguars_(Panthera">
        <w:r w:rsidRPr="00682E50">
          <w:rPr>
            <w:rStyle w:val="Hyperlink"/>
            <w:rFonts w:ascii="Aptos" w:hAnsi="Aptos" w:eastAsia="Twentieth Century" w:cs="Twentieth Century"/>
            <w:color w:val="1F497D" w:themeColor="text2"/>
            <w:sz w:val="19"/>
            <w:szCs w:val="19"/>
            <w:u w:val="none"/>
          </w:rPr>
          <w:t xml:space="preserve">57. Les jaguars (Panthera onca) (décision 20.188)</w:t>
        </w:r>
      </w:hyperlink>
      <w:r w:rsidRPr="00682E50">
        <w:rPr>
          <w:rFonts w:ascii="Aptos" w:hAnsi="Aptos" w:eastAsia="Twentieth Century" w:cs="Twentieth Century"/>
          <w:color w:val="1F497D" w:themeColor="text2"/>
          <w:sz w:val="19"/>
          <w:szCs w:val="19"/>
        </w:rPr>
        <w:t xml:space="preserve"> </w:t>
      </w:r>
    </w:p>
    <w:p w:rsidRPr="00682E50" w:rsidR="00682E50" w:rsidP="00682E50" w:rsidRDefault="00682E50" w14:paraId="503B3E1C" w14:textId="64F178F2">
      <w:pPr>
        <w:shd w:val="clear" w:color="auto" w:fill="FFFFFF"/>
        <w:spacing w:line="240" w:lineRule="auto"/>
        <w:ind w:start="180"/>
        <w:rPr>
          <w:rFonts w:ascii="Aptos" w:hAnsi="Aptos" w:eastAsia="Twentieth Century" w:cs="Twentieth Century"/>
          <w:color w:val="1F497D" w:themeColor="text2"/>
          <w:sz w:val="19"/>
          <w:szCs w:val="19"/>
        </w:rPr>
      </w:pPr>
      <w:hyperlink w:history="1" w:anchor="_58._Implementation_of_1">
        <w:r w:rsidRPr="00682E50">
          <w:rPr>
            <w:rStyle w:val="Hyperlink"/>
            <w:rFonts w:ascii="Aptos" w:hAnsi="Aptos" w:eastAsia="Twentieth Century" w:cs="Twentieth Century"/>
            <w:color w:val="1F497D" w:themeColor="text2"/>
            <w:sz w:val="19"/>
            <w:szCs w:val="19"/>
            <w:u w:val="none"/>
          </w:rPr>
          <w:t xml:space="preserve">58. Mise en œuvre de la résolution Conf. 12.5 (Rev. CoP20) : les tigres (Panthera </w:t>
        </w:r>
        <w:r w:rsidRPr="00682E50">
          <w:rPr>
            <w:rStyle w:val="Hyperlink"/>
            <w:rFonts w:ascii="Aptos" w:hAnsi="Aptos" w:eastAsia="Twentieth Century" w:cs="Twentieth Century"/>
            <w:color w:val="1F497D" w:themeColor="text2"/>
            <w:sz w:val="19"/>
            <w:szCs w:val="19"/>
            <w:u w:val="none"/>
          </w:rPr>
          <w:t xml:space="preserve">tigris</w:t>
        </w:r>
        <w:r w:rsidRPr="00682E50">
          <w:rPr>
            <w:rStyle w:val="Hyperlink"/>
            <w:rFonts w:ascii="Aptos" w:hAnsi="Aptos" w:eastAsia="Twentieth Century" w:cs="Twentieth Century"/>
            <w:color w:val="1F497D" w:themeColor="text2"/>
            <w:sz w:val="19"/>
            <w:szCs w:val="19"/>
            <w:u w:val="none"/>
          </w:rPr>
          <w:t xml:space="preserve">) en captivité (décision 20.189)</w:t>
        </w:r>
      </w:hyperlink>
    </w:p>
    <w:p w:rsidRPr="00682E50" w:rsidR="00682E50" w:rsidP="00682E50" w:rsidRDefault="00682E50" w14:paraId="0BCA8FFE" w14:textId="09E7F7E2">
      <w:pPr>
        <w:shd w:val="clear" w:color="auto" w:fill="FFFFFF"/>
        <w:spacing w:line="240" w:lineRule="auto"/>
        <w:ind w:start="180"/>
        <w:rPr>
          <w:rFonts w:ascii="Aptos" w:hAnsi="Aptos" w:eastAsia="Twentieth Century" w:cs="Twentieth Century"/>
          <w:color w:val="1F497D" w:themeColor="text2"/>
          <w:sz w:val="19"/>
          <w:szCs w:val="19"/>
        </w:rPr>
      </w:pPr>
      <w:hyperlink w:history="1" w:anchor="_59._Saiga_antelopes">
        <w:r w:rsidRPr="00682E50">
          <w:rPr>
            <w:rStyle w:val="Hyperlink"/>
            <w:rFonts w:ascii="Aptos" w:hAnsi="Aptos" w:eastAsia="Twentieth Century" w:cs="Twentieth Century"/>
            <w:color w:val="1F497D" w:themeColor="text2"/>
            <w:sz w:val="19"/>
            <w:szCs w:val="19"/>
            <w:u w:val="none"/>
          </w:rPr>
          <w:t xml:space="preserve">59. Antilopes saïgas (Saiga spp.) [Décision 19.216 (Rev. CoP20)]</w:t>
        </w:r>
      </w:hyperlink>
      <w:r w:rsidRPr="00682E50">
        <w:rPr>
          <w:rFonts w:ascii="Aptos" w:hAnsi="Aptos" w:eastAsia="Twentieth Century" w:cs="Twentieth Century"/>
          <w:color w:val="1F497D" w:themeColor="text2"/>
          <w:sz w:val="19"/>
          <w:szCs w:val="19"/>
        </w:rPr>
        <w:t xml:space="preserve"> </w:t>
      </w:r>
    </w:p>
    <w:p w:rsidR="00682E50" w:rsidP="00682E50" w:rsidRDefault="00682E50" w14:paraId="7502B240" w14:textId="15AA8B8F">
      <w:pPr>
        <w:shd w:val="clear" w:color="auto" w:fill="FFFFFF"/>
        <w:spacing w:line="240" w:lineRule="auto"/>
        <w:ind w:start="180"/>
        <w:rPr>
          <w:rFonts w:ascii="Aptos" w:hAnsi="Aptos" w:eastAsia="Twentieth Century" w:cs="Twentieth Century"/>
          <w:color w:val="1F497D" w:themeColor="text2"/>
          <w:sz w:val="19"/>
          <w:szCs w:val="19"/>
        </w:rPr>
      </w:pPr>
      <w:hyperlink w:history="1" w:anchor="_60._Sharks_and">
        <w:r w:rsidRPr="00682E50">
          <w:rPr>
            <w:rStyle w:val="Hyperlink"/>
            <w:rFonts w:ascii="Aptos" w:hAnsi="Aptos" w:eastAsia="Twentieth Century" w:cs="Twentieth Century"/>
            <w:color w:val="1F497D" w:themeColor="text2"/>
            <w:sz w:val="19"/>
            <w:szCs w:val="19"/>
            <w:u w:val="none"/>
          </w:rPr>
          <w:t xml:space="preserve">60. Requins et raies (</w:t>
        </w:r>
        <w:r w:rsidRPr="00682E50">
          <w:rPr>
            <w:rStyle w:val="Hyperlink"/>
            <w:rFonts w:ascii="Aptos" w:hAnsi="Aptos" w:eastAsia="Twentieth Century" w:cs="Twentieth Century"/>
            <w:color w:val="1F497D" w:themeColor="text2"/>
            <w:sz w:val="19"/>
            <w:szCs w:val="19"/>
            <w:u w:val="none"/>
          </w:rPr>
          <w:t xml:space="preserve">Elasmobranchii </w:t>
        </w:r>
        <w:r w:rsidRPr="00682E50">
          <w:rPr>
            <w:rStyle w:val="Hyperlink"/>
            <w:rFonts w:ascii="Aptos" w:hAnsi="Aptos" w:eastAsia="Twentieth Century" w:cs="Twentieth Century"/>
            <w:color w:val="1F497D" w:themeColor="text2"/>
            <w:sz w:val="19"/>
            <w:szCs w:val="19"/>
            <w:u w:val="none"/>
          </w:rPr>
          <w:t xml:space="preserve">spp.) (Décisions 20.211 et 20.212)</w:t>
        </w:r>
      </w:hyperlink>
      <w:r w:rsidRPr="00682E50">
        <w:rPr>
          <w:rFonts w:ascii="Aptos" w:hAnsi="Aptos" w:eastAsia="Twentieth Century" w:cs="Twentieth Century"/>
          <w:color w:val="1F497D" w:themeColor="text2"/>
          <w:sz w:val="19"/>
          <w:szCs w:val="19"/>
        </w:rPr>
        <w:t xml:space="preserve"> </w:t>
      </w:r>
    </w:p>
    <w:p w:rsidRPr="00395EA8" w:rsidR="00395EA8" w:rsidP="00682E50" w:rsidRDefault="00395EA8" w14:paraId="7E52D8A3" w14:textId="77F16047">
      <w:pPr>
        <w:shd w:val="clear" w:color="auto" w:fill="FFFFFF"/>
        <w:spacing w:line="240" w:lineRule="auto"/>
        <w:ind w:start="180"/>
        <w:rPr>
          <w:rFonts w:ascii="Aptos" w:hAnsi="Aptos" w:eastAsia="Twentieth Century" w:cs="Twentieth Century"/>
          <w:color w:val="1F497D" w:themeColor="text2"/>
          <w:sz w:val="19"/>
          <w:szCs w:val="19"/>
        </w:rPr>
      </w:pPr>
      <w:hyperlink w:history="1" w:anchor="_60:_Sharks_and">
        <w:r w:rsidRPr="00395EA8">
          <w:rPr>
            <w:rStyle w:val="Hyperlink"/>
            <w:rFonts w:ascii="Aptos" w:hAnsi="Aptos" w:eastAsia="Twentieth Century" w:cs="Twentieth Century"/>
            <w:color w:val="1F497D" w:themeColor="text2"/>
            <w:sz w:val="19"/>
            <w:szCs w:val="19"/>
            <w:u w:val="none"/>
          </w:rPr>
          <w:t xml:space="preserve">Annexe : Liste des acronymes</w:t>
        </w:r>
      </w:hyperlink>
    </w:p>
    <w:p w:rsidR="00682E50" w:rsidP="00682E50" w:rsidRDefault="00682E50" w14:paraId="6C836CFB" w14:textId="77777777">
      <w:pPr>
        <w:shd w:val="clear" w:color="auto" w:fill="FFFFFF"/>
        <w:spacing w:line="240" w:lineRule="auto"/>
        <w:rPr>
          <w:rFonts w:ascii="Aptos" w:hAnsi="Aptos" w:eastAsia="Twentieth Century" w:cs="Twentieth Century"/>
        </w:rPr>
      </w:pPr>
    </w:p>
    <w:p w:rsidR="00682E50" w:rsidP="00682E50" w:rsidRDefault="00682E50" w14:paraId="58BE708C" w14:textId="77777777">
      <w:pPr>
        <w:shd w:val="clear" w:color="auto" w:fill="FFFFFF"/>
        <w:spacing w:line="240" w:lineRule="auto"/>
        <w:rPr>
          <w:rFonts w:ascii="Aptos" w:hAnsi="Aptos" w:eastAsia="Twentieth Century" w:cs="Twentieth Century"/>
        </w:rPr>
      </w:pPr>
    </w:p>
    <w:p w:rsidRPr="00682E50" w:rsidR="00682E50" w:rsidP="5403C073" w:rsidRDefault="00000000" w14:paraId="38AF5719" w14:textId="74BE9322">
      <w:pPr>
        <w:shd w:val="clear" w:color="auto" w:fill="FFFFFF" w:themeFill="background1"/>
        <w:spacing w:line="240" w:lineRule="auto"/>
        <w:rPr>
          <w:rFonts w:ascii="Aptos" w:hAnsi="Aptos" w:eastAsia="Twentieth Century" w:cs="Twentieth Century"/>
          <w:shd w:val="clear" w:color="auto" w:fill="C6C6C6"/>
        </w:rPr>
      </w:pPr>
      <w:r w:rsidRPr="00682E50">
        <w:rPr>
          <w:rFonts w:ascii="Aptos" w:hAnsi="Aptos" w:eastAsia="Twentieth Century" w:cs="Twentieth Century"/>
        </w:rPr>
        <w:t xml:space="preserve">---------</w:t>
      </w:r>
    </w:p>
    <w:p w:rsidRPr="00682E50" w:rsidR="00682E50" w:rsidP="00682E50" w:rsidRDefault="00682E50" w14:paraId="4282EF5E" w14:textId="77777777">
      <w:pPr>
        <w:shd w:val="clear" w:color="auto" w:fill="FFFFFF"/>
        <w:spacing w:line="240" w:lineRule="auto"/>
        <w:rPr>
          <w:rFonts w:ascii="Aptos" w:hAnsi="Aptos" w:eastAsia="Twentieth Century" w:cs="Twentieth Century"/>
          <w:shd w:val="clear" w:color="auto" w:fill="C6C6C6"/>
        </w:rPr>
      </w:pPr>
    </w:p>
    <w:p w:rsidRPr="00682E50" w:rsidR="00682E50" w:rsidP="00682E50" w:rsidRDefault="00682E50" w14:paraId="52B213F4" w14:textId="77777777">
      <w:pPr>
        <w:spacing w:line="240" w:lineRule="auto"/>
        <w:rPr>
          <w:rFonts w:ascii="Aptos" w:hAnsi="Aptos" w:eastAsia="Aptos" w:cs="Aptos"/>
          <w:b/>
          <w:bCs/>
          <w:u w:val="single"/>
          <w:lang w:val="en-US"/>
        </w:rPr>
      </w:pPr>
      <w:bookmarkStart w:name="_aazxyk9a8tva" w:colFirst="0" w:colLast="0" w:id="0"/>
      <w:bookmarkEnd w:id="0"/>
      <w:r w:rsidRPr="00682E50">
        <w:rPr>
          <w:rFonts w:ascii="Aptos" w:hAnsi="Aptos" w:eastAsia="Aptos" w:cs="Aptos"/>
          <w:b/>
          <w:bCs/>
          <w:u w:val="single"/>
          <w:lang w:val="en-US"/>
        </w:rPr>
        <w:t xml:space="preserve">Recommandations concernant les points de l’ordre du jour de la SC81 </w:t>
      </w:r>
    </w:p>
    <w:p w:rsidRPr="00682E50" w:rsidR="00682E50" w:rsidP="00682E50" w:rsidRDefault="00682E50" w14:paraId="14B44C9D" w14:textId="77777777">
      <w:pPr>
        <w:pStyle w:val="Heading"/>
      </w:pPr>
    </w:p>
    <w:p w:rsidR="00682E50" w:rsidP="00682E50" w:rsidRDefault="00682E50" w14:paraId="094147CD" w14:textId="77777777">
      <w:pPr>
        <w:spacing w:line="240" w:lineRule="auto"/>
        <w:rPr>
          <w:rFonts w:ascii="Aptos" w:hAnsi="Aptos" w:eastAsia="Aptos" w:cs="Aptos"/>
          <w:lang w:val="en-US"/>
        </w:rPr>
      </w:pPr>
      <w:r w:rsidRPr="00682E50">
        <w:rPr>
          <w:rFonts w:ascii="Aptos" w:hAnsi="Aptos" w:eastAsia="Aptos" w:cs="Aptos"/>
          <w:lang w:val="en-US"/>
        </w:rPr>
        <w:t xml:space="preserve">La WCS n’aborde ci-dessous qu’une partie des points de l’ordre du jour et des documents du SC81. Nous serions toutefois ravis de discuter de ces documents et de ces questions, ainsi que de tout autre sujet, avec les membres du SC et les autres Parties, avant ou pendant la réunion du SC81. </w:t>
      </w:r>
    </w:p>
    <w:p w:rsidR="00682E50" w:rsidP="00682E50" w:rsidRDefault="00682E50" w14:paraId="5AE3B5AE" w14:textId="77777777">
      <w:pPr>
        <w:spacing w:line="240" w:lineRule="auto"/>
        <w:rPr>
          <w:rFonts w:ascii="Aptos" w:hAnsi="Aptos" w:eastAsia="Aptos" w:cs="Aptos"/>
          <w:lang w:val="en-US"/>
        </w:rPr>
      </w:pPr>
    </w:p>
    <w:p w:rsidR="00682E50" w:rsidP="00682E50" w:rsidRDefault="00682E50" w14:paraId="46577D0A" w14:textId="77777777">
      <w:pPr>
        <w:spacing w:line="240" w:lineRule="auto"/>
        <w:rPr>
          <w:rFonts w:ascii="Aptos" w:hAnsi="Aptos" w:eastAsia="Aptos" w:cs="Aptos"/>
          <w:lang w:val="en-US"/>
        </w:rPr>
      </w:pPr>
      <w:r w:rsidRPr="00682E50">
        <w:rPr>
          <w:rFonts w:ascii="Aptos" w:hAnsi="Aptos" w:eastAsia="Aptos" w:cs="Aptos"/>
          <w:lang w:val="en-US"/>
        </w:rPr>
        <w:t xml:space="preserve">En ce qui concerne les documents soumis tardivement, nous ferons part de nos points de vue et de nos recommandations aux membres du SC et aux Parties lors de la réunion, et en mettant à jour ce document sur </w:t>
      </w:r>
      <w:hyperlink r:id="rId11">
        <w:r w:rsidRPr="00682E50">
          <w:rPr>
            <w:rStyle w:val="Hyperlink"/>
            <w:rFonts w:ascii="Aptos" w:hAnsi="Aptos"/>
            <w:lang w:val="en-US"/>
          </w:rPr>
          <w:t xml:space="preserve">notre site web</w:t>
        </w:r>
      </w:hyperlink>
      <w:r w:rsidRPr="00682E50">
        <w:rPr>
          <w:rFonts w:ascii="Aptos" w:hAnsi="Aptos" w:eastAsia="Aptos" w:cs="Aptos"/>
          <w:lang w:val="en-US"/>
        </w:rPr>
        <w:t xml:space="preserve">. </w:t>
      </w:r>
    </w:p>
    <w:p w:rsidR="00682E50" w:rsidP="00682E50" w:rsidRDefault="00682E50" w14:paraId="2340C7C1" w14:textId="77777777">
      <w:pPr>
        <w:spacing w:line="240" w:lineRule="auto"/>
        <w:rPr>
          <w:rFonts w:ascii="Aptos" w:hAnsi="Aptos" w:eastAsia="Aptos" w:cs="Aptos"/>
          <w:lang w:val="en-US"/>
        </w:rPr>
      </w:pPr>
    </w:p>
    <w:p w:rsidR="00682E50" w:rsidP="00682E50" w:rsidRDefault="00682E50" w14:paraId="63EBD5C2" w14:textId="17C65BEF">
      <w:pPr>
        <w:spacing w:line="240" w:lineRule="auto"/>
        <w:rPr>
          <w:rFonts w:ascii="Aptos" w:hAnsi="Aptos" w:eastAsia="Aptos" w:cs="Aptos"/>
          <w:lang w:val="en-US"/>
        </w:rPr>
      </w:pPr>
      <w:r w:rsidRPr="00682E50">
        <w:rPr>
          <w:rFonts w:ascii="Aptos" w:hAnsi="Aptos" w:eastAsia="Aptos" w:cs="Aptos"/>
          <w:lang w:val="en-US"/>
        </w:rPr>
        <w:t xml:space="preserve">Les numéros renvoient au numéro officiel du point de l’ordre du jour du SC81</w:t>
      </w:r>
      <w:r>
        <w:rPr>
          <w:rFonts w:ascii="Aptos" w:hAnsi="Aptos" w:eastAsia="Aptos" w:cs="Aptos"/>
          <w:lang w:val="en-US"/>
        </w:rPr>
        <w:t xml:space="preserve">, et le titre devrait comporter un lien hypertexte vers le document de travail.</w:t>
      </w:r>
    </w:p>
    <w:p w:rsidRPr="00682E50" w:rsidR="00682E50" w:rsidP="00682E50" w:rsidRDefault="00682E50" w14:paraId="32AC8695" w14:textId="77777777">
      <w:pPr>
        <w:spacing w:line="240" w:lineRule="auto"/>
        <w:rPr>
          <w:rFonts w:ascii="Aptos" w:hAnsi="Aptos"/>
        </w:rPr>
      </w:pPr>
    </w:p>
    <w:p w:rsidR="5403C073" w:rsidP="5403C073" w:rsidRDefault="5403C073" w14:paraId="4FAFAC7A" w14:textId="4FD7D916">
      <w:pPr>
        <w:spacing w:line="240" w:lineRule="auto"/>
        <w:rPr>
          <w:rFonts w:ascii="Aptos" w:hAnsi="Aptos"/>
        </w:rPr>
      </w:pPr>
    </w:p>
    <w:p w:rsidR="698A71E8" w:rsidP="5403C073" w:rsidRDefault="698A71E8" w14:paraId="2BCEF9FE" w14:textId="567234CB">
      <w:pPr>
        <w:spacing w:line="240" w:lineRule="auto"/>
        <w:rPr>
          <w:rFonts w:ascii="Aptos" w:hAnsi="Aptos"/>
          <w:b/>
          <w:bCs/>
        </w:rPr>
      </w:pPr>
      <w:r w:rsidRPr="5403C073">
        <w:rPr>
          <w:rFonts w:ascii="Aptos" w:hAnsi="Aptos"/>
          <w:b/>
          <w:bCs/>
        </w:rPr>
        <w:t xml:space="preserve">13. Renforcer les travaux et l’efficacité de la Convention par le biais des comités permanents</w:t>
      </w:r>
    </w:p>
    <w:p w:rsidRPr="00682E50" w:rsidR="00682E50" w:rsidP="00682E50" w:rsidRDefault="00682E50" w14:paraId="6974728E" w14:textId="77777777">
      <w:pPr>
        <w:spacing w:line="240" w:lineRule="auto"/>
        <w:rPr>
          <w:rFonts w:ascii="Aptos" w:hAnsi="Aptos" w:eastAsia="Aptos" w:cs="Aptos"/>
          <w:i/>
          <w:iCs/>
          <w:color w:val="FF0000"/>
          <w:lang w:val="en-US"/>
        </w:rPr>
      </w:pPr>
    </w:p>
    <w:p w:rsidR="00682E50" w:rsidP="00682E50" w:rsidRDefault="00682E50" w14:paraId="335B8DD3" w14:textId="77777777">
      <w:pPr>
        <w:pStyle w:val="Heading1"/>
        <w:rPr>
          <w:rFonts w:ascii="Aptos" w:hAnsi="Aptos"/>
          <w:sz w:val="22"/>
          <w:szCs w:val="22"/>
        </w:rPr>
      </w:pPr>
      <w:bookmarkStart w:name="_13.1:_Enhancing_the" w:id="1"/>
      <w:bookmarkStart w:name="_Enhancing_the_work" w:id="2"/>
      <w:bookmarkStart w:name="_Toc242563984" w:id="3"/>
      <w:bookmarkEnd w:id="1"/>
      <w:r w:rsidRPr="00682E50">
        <w:rPr>
          <w:rFonts w:ascii="Aptos" w:hAnsi="Aptos"/>
          <w:sz w:val="22"/>
          <w:szCs w:val="22"/>
        </w:rPr>
        <w:t xml:space="preserve">13.1 : </w:t>
      </w:r>
      <w:hyperlink r:id="rId12">
        <w:r w:rsidRPr="00682E50">
          <w:rPr>
            <w:rStyle w:val="Hyperlink"/>
            <w:rFonts w:ascii="Aptos" w:hAnsi="Aptos"/>
            <w:sz w:val="22"/>
            <w:szCs w:val="22"/>
          </w:rPr>
          <w:t xml:space="preserve">Renforcer les travaux et l’efficacité de la Convention par le biais des comités permanents : rapport du groupe de travail</w:t>
        </w:r>
        <w:bookmarkEnd w:id="2"/>
        <w:bookmarkEnd w:id="3"/>
      </w:hyperlink>
    </w:p>
    <w:p w:rsidRPr="00682E50" w:rsidR="00682E50" w:rsidP="00682E50" w:rsidRDefault="00682E50" w14:paraId="5030401B" w14:textId="77777777"/>
    <w:p w:rsidR="00682E50" w:rsidP="00682E50" w:rsidRDefault="00682E50" w14:paraId="2EC4BAF5" w14:textId="0B6C8C18">
      <w:pPr>
        <w:spacing w:line="240" w:lineRule="auto"/>
        <w:rPr>
          <w:rFonts w:ascii="Aptos" w:hAnsi="Aptos" w:eastAsia="Aptos" w:cs="Aptos"/>
          <w:lang w:val="en-US"/>
        </w:rPr>
      </w:pPr>
      <w:r w:rsidRPr="5403C073">
        <w:rPr>
          <w:rFonts w:ascii="Aptos" w:hAnsi="Aptos" w:eastAsia="Aptos" w:cs="Aptos"/>
          <w:lang w:val="en-US"/>
        </w:rPr>
        <w:t xml:space="preserve">Nous soutenons l’exercice pilote prévu pour la COP21, dont les détails sont suffisamment précis pour permettre d’évaluer si l’investissement accru dans le processus permet d’organiser de manière significative les travaux des comités permanents et du Secrétariat (par exemple, le temps consacré à la catégorisation et aux modifications par rapport aux priorités précédentes). De manière générale, nous estimons que les processus d’évaluation devraient citer</w:t>
      </w:r>
      <w:r w:rsidRPr="5403C073" w:rsidR="4CEEC452">
        <w:rPr>
          <w:rFonts w:ascii="Aptos" w:hAnsi="Aptos" w:eastAsia="Aptos" w:cs="Aptos"/>
          <w:lang w:val="en-US"/>
        </w:rPr>
        <w:t xml:space="preserve">, dans la mesure du possible, </w:t>
      </w:r>
      <w:r w:rsidRPr="5403C073">
        <w:rPr>
          <w:rFonts w:ascii="Aptos" w:hAnsi="Aptos" w:eastAsia="Aptos" w:cs="Aptos"/>
          <w:lang w:val="en-US"/>
        </w:rPr>
        <w:t xml:space="preserve">toute preuve ou tout indicateur pouvant être vérifié de manière indépendante. </w:t>
      </w:r>
    </w:p>
    <w:p w:rsidRPr="00682E50" w:rsidR="00682E50" w:rsidP="00682E50" w:rsidRDefault="00682E50" w14:paraId="6D193ED3" w14:textId="77777777">
      <w:pPr>
        <w:spacing w:line="240" w:lineRule="auto"/>
        <w:rPr>
          <w:rFonts w:ascii="Aptos" w:hAnsi="Aptos" w:eastAsia="Aptos" w:cs="Aptos"/>
          <w:lang w:val="en-US"/>
        </w:rPr>
      </w:pPr>
    </w:p>
    <w:p w:rsidR="00682E50" w:rsidP="00682E50" w:rsidRDefault="00682E50" w14:paraId="4C452338" w14:textId="77777777">
      <w:pPr>
        <w:pStyle w:val="Heading"/>
        <w:outlineLvl w:val="0"/>
      </w:pPr>
      <w:r w:rsidRPr="00682E50">
        <w:t xml:space="preserve">13.2 : </w:t>
      </w:r>
      <w:hyperlink r:id="rId13">
        <w:r w:rsidRPr="00682E50">
          <w:rPr>
            <w:rStyle w:val="Hyperlink"/>
          </w:rPr>
          <w:t xml:space="preserve">Renforcer le travail et l’efficacité de la Convention par le biais des comités permanents : demandes d’informations adressées aux Parties : aperçu et principaux défis</w:t>
        </w:r>
      </w:hyperlink>
    </w:p>
    <w:p w:rsidRPr="00682E50" w:rsidR="00682E50" w:rsidP="00682E50" w:rsidRDefault="00682E50" w14:paraId="45C295FD" w14:textId="77777777">
      <w:pPr>
        <w:pStyle w:val="Heading"/>
      </w:pPr>
    </w:p>
    <w:p w:rsidRPr="00682E50" w:rsidR="00682E50" w:rsidP="00682E50" w:rsidRDefault="00682E50" w14:paraId="1364E97F" w14:textId="51EEAA11">
      <w:pPr>
        <w:spacing w:line="240" w:lineRule="auto"/>
        <w:rPr>
          <w:rFonts w:ascii="Aptos" w:hAnsi="Aptos" w:eastAsia="Aptos" w:cs="Aptos"/>
          <w:lang w:val="en-US"/>
        </w:rPr>
      </w:pPr>
      <w:r w:rsidRPr="5403C073">
        <w:rPr>
          <w:rFonts w:ascii="Aptos" w:hAnsi="Aptos" w:eastAsia="Aptos" w:cs="Aptos"/>
          <w:lang w:val="en-US"/>
        </w:rPr>
        <w:t xml:space="preserve">La décision des Parties de ne pas répondre aux notifications sollicitant des informations spécifiques compromet la prise de décision des comités permanents et de la CoP sur des questions allant des grands félins d’Asie aux stocks d’ivoire d’éléphant, en passant par les espèces d’amphibiens, et bien d’autres encore. Bon nombre de ces </w:t>
      </w:r>
      <w:r w:rsidRPr="5403C073">
        <w:rPr>
          <w:rFonts w:ascii="Aptos" w:hAnsi="Aptos" w:eastAsia="Aptos" w:cs="Aptos"/>
          <w:lang w:val="en-US"/>
        </w:rPr>
        <w:t xml:space="preserve">notifications «</w:t>
      </w:r>
      <w:r w:rsidRPr="5403C073">
        <w:rPr>
          <w:rFonts w:ascii="Aptos" w:hAnsi="Aptos" w:eastAsia="Aptos" w:cs="Aptos"/>
          <w:lang w:val="en-US"/>
        </w:rPr>
        <w:lastRenderedPageBreak/>
      </w:r>
      <w:r w:rsidRPr="5403C073">
        <w:rPr>
          <w:rFonts w:ascii="Aptos" w:hAnsi="Aptos" w:eastAsia="Aptos" w:cs="Aptos"/>
          <w:lang w:val="en-US"/>
        </w:rPr>
        <w:t xml:space="preserve"> » sont liées à la mise en œuvre de résolutions existantes sur les espèces menacées. Nous soutenons la création d’un groupe de travail intersessionnel chargé d’identifier les moyens d’obtenir des réponses plus substantielles et exhaustives à ces notifications. </w:t>
      </w:r>
      <w:r w:rsidRPr="5403C073" w:rsidR="1C78D00D">
        <w:rPr>
          <w:rFonts w:ascii="Aptos" w:hAnsi="Aptos" w:eastAsia="Aptos" w:cs="Aptos"/>
          <w:lang w:val="en-US"/>
        </w:rPr>
        <w:t xml:space="preserve">Une option consiste à veiller à ce que le Comité scientifique (SC) et la Conférence des Parties (CoP) adoptent des recommandations et des décisions qui citent les conclusions d’analyses techniques afin de clarifier les contributions les plus importantes des Parties. </w:t>
      </w:r>
    </w:p>
    <w:p w:rsidR="00682E50" w:rsidP="00682E50" w:rsidRDefault="00682E50" w14:paraId="215E71EC" w14:textId="77777777">
      <w:pPr>
        <w:spacing w:line="240" w:lineRule="auto"/>
        <w:rPr>
          <w:rFonts w:ascii="Aptos" w:hAnsi="Aptos" w:eastAsia="Aptos" w:cs="Aptos"/>
          <w:b/>
          <w:bCs/>
          <w:lang w:val="en-US"/>
        </w:rPr>
      </w:pPr>
    </w:p>
    <w:p w:rsidRPr="00682E50" w:rsidR="00682E50" w:rsidP="00682E50" w:rsidRDefault="00682E50" w14:paraId="24A2F76F" w14:textId="77777777">
      <w:pPr>
        <w:spacing w:line="240" w:lineRule="auto"/>
        <w:rPr>
          <w:rFonts w:ascii="Aptos" w:hAnsi="Aptos" w:eastAsia="Aptos" w:cs="Aptos"/>
          <w:b/>
          <w:bCs/>
          <w:lang w:val="en-US"/>
        </w:rPr>
      </w:pPr>
    </w:p>
    <w:p w:rsidRPr="00682E50" w:rsidR="00682E50" w:rsidP="00682E50" w:rsidRDefault="00682E50" w14:paraId="3F453AD5" w14:textId="77777777">
      <w:pPr>
        <w:pStyle w:val="Heading1"/>
        <w:rPr>
          <w:rFonts w:ascii="Aptos" w:hAnsi="Aptos"/>
          <w:sz w:val="22"/>
          <w:szCs w:val="22"/>
        </w:rPr>
      </w:pPr>
      <w:bookmarkStart w:name="_14:_Role_of" w:id="4"/>
      <w:bookmarkStart w:name="_Role_of_CITES" w:id="5"/>
      <w:bookmarkStart w:name="_Toc242563985" w:id="6"/>
      <w:bookmarkEnd w:id="4"/>
      <w:r w:rsidRPr="00682E50">
        <w:rPr>
          <w:rFonts w:ascii="Aptos" w:hAnsi="Aptos"/>
          <w:sz w:val="22"/>
          <w:szCs w:val="22"/>
        </w:rPr>
        <w:t xml:space="preserve">14 : </w:t>
      </w:r>
      <w:hyperlink r:id="rId14">
        <w:r w:rsidRPr="00682E50">
          <w:rPr>
            <w:rStyle w:val="Hyperlink"/>
            <w:rFonts w:ascii="Aptos" w:hAnsi="Aptos"/>
            <w:sz w:val="22"/>
            <w:szCs w:val="22"/>
          </w:rPr>
          <w:t xml:space="preserve">Rôle de la CITES dans la réduction du risque d’émergence future de maladies zoonotiques associées au commerce international d’espèces sauvages [Décisions 19.17 (Rev. CoP20) et 20.23]</w:t>
        </w:r>
        <w:bookmarkEnd w:id="5"/>
        <w:bookmarkEnd w:id="6"/>
      </w:hyperlink>
      <w:r w:rsidRPr="00682E50">
        <w:rPr>
          <w:rFonts w:ascii="Aptos" w:hAnsi="Aptos"/>
          <w:sz w:val="22"/>
          <w:szCs w:val="22"/>
        </w:rPr>
        <w:t xml:space="preserve"> </w:t>
      </w:r>
    </w:p>
    <w:p w:rsidR="00682E50" w:rsidP="00682E50" w:rsidRDefault="00682E50" w14:paraId="30FEE943" w14:textId="77777777">
      <w:pPr>
        <w:spacing w:line="240" w:lineRule="auto"/>
        <w:rPr>
          <w:rFonts w:ascii="Aptos" w:hAnsi="Aptos" w:eastAsia="Aptos" w:cs="Aptos"/>
          <w:lang w:val="en-US"/>
        </w:rPr>
      </w:pPr>
    </w:p>
    <w:p w:rsidR="00682E50" w:rsidP="5403C073" w:rsidRDefault="00682E50" w14:paraId="5DEEDDE3" w14:textId="40B263DC">
      <w:pPr>
        <w:spacing w:line="240" w:lineRule="auto"/>
        <w:rPr>
          <w:rFonts w:ascii="Aptos" w:hAnsi="Aptos" w:eastAsia="Aptos" w:cs="Aptos"/>
          <w:lang w:val="en-US"/>
        </w:rPr>
      </w:pPr>
      <w:r w:rsidRPr="5403C073">
        <w:rPr>
          <w:rFonts w:ascii="Aptos" w:hAnsi="Aptos" w:eastAsia="Aptos" w:cs="Aptos"/>
          <w:lang w:val="en-US"/>
        </w:rPr>
        <w:t xml:space="preserve">La WCS se réjouit d’avoir fait partie du groupe de travail (WG) avant la CoP20 sur le </w:t>
      </w:r>
      <w:r w:rsidRPr="5403C073">
        <w:rPr>
          <w:rFonts w:ascii="Aptos" w:hAnsi="Aptos" w:eastAsia="Aptos" w:cs="Aptos"/>
          <w:lang w:val="en-US"/>
        </w:rPr>
        <w:t xml:space="preserve">«</w:t>
      </w:r>
      <w:r w:rsidRPr="5403C073">
        <w:rPr>
          <w:rFonts w:ascii="Aptos" w:hAnsi="Aptos" w:eastAsia="Aptos" w:cs="Aptos"/>
          <w:lang w:val="en-US"/>
        </w:rPr>
        <w:t xml:space="preserve"> Rôle de la CITES dans la réduction du risque d’émergence future de maladies zoonotiques liées au commerce international d’espèces sauvages </w:t>
      </w:r>
      <w:r w:rsidRPr="5403C073">
        <w:rPr>
          <w:rFonts w:ascii="Aptos" w:hAnsi="Aptos" w:eastAsia="Aptos" w:cs="Aptos"/>
          <w:lang w:val="en-US"/>
        </w:rPr>
        <w:t xml:space="preserve">»</w:t>
      </w:r>
      <w:r w:rsidRPr="5403C073" w:rsidR="71EF62EA">
        <w:rPr>
          <w:rFonts w:ascii="Aptos" w:hAnsi="Aptos" w:eastAsia="Aptos" w:cs="Aptos"/>
          <w:lang w:val="en-US"/>
        </w:rPr>
        <w:t xml:space="preserve">, </w:t>
      </w:r>
      <w:r w:rsidRPr="5403C073">
        <w:rPr>
          <w:rFonts w:ascii="Aptos" w:hAnsi="Aptos" w:eastAsia="Aptos" w:cs="Aptos"/>
          <w:lang w:val="en-US"/>
        </w:rPr>
        <w:t xml:space="preserve">et d’avoir pu partager </w:t>
      </w:r>
      <w:r w:rsidRPr="5403C073">
        <w:rPr>
          <w:rFonts w:ascii="Aptos" w:hAnsi="Aptos" w:eastAsia="Aptos" w:cs="Aptos"/>
          <w:lang w:val="en-US"/>
        </w:rPr>
        <w:t xml:space="preserve">avec les Parties  </w:t>
      </w:r>
      <w:r w:rsidRPr="5403C073">
        <w:rPr>
          <w:rFonts w:ascii="Aptos" w:hAnsi="Aptos" w:eastAsia="Aptos" w:cs="Aptos"/>
          <w:lang w:val="en-US"/>
        </w:rPr>
        <w:t xml:space="preserve">nos </w:t>
      </w:r>
      <w:hyperlink r:id="rId15">
        <w:r w:rsidRPr="5403C073">
          <w:rPr>
            <w:rStyle w:val="Hyperlink"/>
            <w:rFonts w:ascii="Aptos" w:hAnsi="Aptos" w:eastAsia="Aptos" w:cs="Aptos"/>
            <w:color w:val="467886"/>
            <w:lang w:val="en-US"/>
          </w:rPr>
          <w:t xml:space="preserve">travaux et notre expertise</w:t>
        </w:r>
      </w:hyperlink>
      <w:r w:rsidRPr="5403C073">
        <w:rPr>
          <w:rFonts w:ascii="Aptos" w:hAnsi="Aptos" w:eastAsia="Aptos" w:cs="Aptos"/>
          <w:lang w:val="en-US"/>
        </w:rPr>
        <w:t xml:space="preserve"> approfondis dans le cadre de </w:t>
      </w:r>
      <w:hyperlink r:id="rId15">
        <w:r w:rsidRPr="5403C073">
          <w:rPr>
            <w:rStyle w:val="Hyperlink"/>
            <w:rFonts w:ascii="Aptos" w:hAnsi="Aptos" w:eastAsia="Aptos" w:cs="Aptos"/>
            <w:color w:val="467886"/>
            <w:lang w:val="en-US"/>
          </w:rPr>
          <w:t xml:space="preserve">l’approche « One Health</w:t>
        </w:r>
      </w:hyperlink>
      <w:r w:rsidRPr="5403C073">
        <w:rPr>
          <w:rFonts w:ascii="Aptos" w:hAnsi="Aptos" w:eastAsia="Aptos" w:cs="Aptos"/>
          <w:lang w:val="en-US"/>
        </w:rPr>
        <w:t xml:space="preserve"> », ainsi que </w:t>
      </w:r>
      <w:hyperlink r:id="rId17">
        <w:r w:rsidRPr="5403C073">
          <w:rPr>
            <w:rStyle w:val="Hyperlink"/>
            <w:rFonts w:ascii="Aptos" w:hAnsi="Aptos" w:eastAsia="Aptos" w:cs="Aptos"/>
            <w:color w:val="467886"/>
            <w:lang w:val="en-US"/>
          </w:rPr>
          <w:t xml:space="preserve">nos travaux scientifiques sur la prévention des pandémies</w:t>
        </w:r>
      </w:hyperlink>
      <w:r w:rsidRPr="5403C073">
        <w:rPr>
          <w:rFonts w:ascii="Aptos" w:hAnsi="Aptos" w:eastAsia="Aptos" w:cs="Aptos"/>
          <w:lang w:val="en-US"/>
        </w:rPr>
        <w:t xml:space="preserve">. Il est essentiel que la prévention à la source (en particulier de la transmission d’agents pathogènes provenant de la faune sauvage) de la prochaine flambée, épidémie ou pandémie d’origine zoonotique soit abordée tant au niveau national qu’international. Nous estimons que la CITES et sa mise en œuvre ont un rôle à jouer dans cette prévention, mais il reste également beaucoup à faire qui dépasse le champ d’application de la CITES.  </w:t>
      </w:r>
    </w:p>
    <w:p w:rsidRPr="00682E50" w:rsidR="00682E50" w:rsidP="00682E50" w:rsidRDefault="00682E50" w14:paraId="55DA2440" w14:textId="77777777">
      <w:pPr>
        <w:spacing w:line="240" w:lineRule="auto"/>
        <w:rPr>
          <w:rFonts w:ascii="Aptos" w:hAnsi="Aptos" w:eastAsia="Aptos" w:cs="Aptos"/>
          <w:lang w:val="en-US"/>
        </w:rPr>
      </w:pPr>
    </w:p>
    <w:p w:rsidR="00682E50" w:rsidP="00682E50" w:rsidRDefault="00682E50" w14:paraId="2FC32582" w14:textId="77777777">
      <w:pPr>
        <w:spacing w:line="240" w:lineRule="auto"/>
        <w:rPr>
          <w:rFonts w:ascii="Aptos" w:hAnsi="Aptos" w:eastAsia="Aptos" w:cs="Aptos"/>
          <w:lang w:val="en-US"/>
        </w:rPr>
      </w:pPr>
      <w:r w:rsidRPr="00682E50">
        <w:rPr>
          <w:rFonts w:ascii="Aptos" w:hAnsi="Aptos" w:eastAsia="Aptos" w:cs="Aptos"/>
        </w:rPr>
        <w:t xml:space="preserve">Il s’agit d’une question urgente, et les gouvernements doivent prendre des mesures cruciales pour contribuer à prévenir une nouvelle pandémie dévastatrice d’origine zoonotique. La mise en œuvre d’une véritable approche intersectorielle « One Health » est essentielle à cet égard. Nous considérons que la mise en œuvre de la CITES s’inscrit dans le cadre d’une telle approche transsectorielle, qui doit inclure la gestion et la réglementation de l’utilisation domestique de la faune sauvage, la dégradation et la perte d’habitats, l’« élevage » et la manipulation des animaux, les marchés d’animaux sauvages vivants, et qui doit nécessairement impliquer de multiples agences et autorités nationales. </w:t>
      </w:r>
      <w:r w:rsidRPr="00682E50">
        <w:rPr>
          <w:rFonts w:ascii="Aptos" w:hAnsi="Aptos" w:eastAsia="Aptos" w:cs="Aptos"/>
          <w:lang w:val="en-SG"/>
        </w:rPr>
        <w:t xml:space="preserve">Différents </w:t>
      </w:r>
      <w:r w:rsidRPr="00682E50">
        <w:rPr>
          <w:rFonts w:ascii="Aptos" w:hAnsi="Aptos" w:eastAsia="Aptos" w:cs="Aptos"/>
        </w:rPr>
        <w:t xml:space="preserve">facteurs contribuent à la transmission (et à la rétrotransmission) d’agents pathogènes de la faune sauvage vers les humains, d’autres espèces sauvages et le bétail. Les données montrent clairement que les élevages d’animaux sauvages ou les installations d’élevage en captivité, les marchés (en particulier ceux d’animaux vivants ou fraîchement abattus, notamment les oiseaux et les mammifères) et le commerce associé (national et international) contribuent de manière significative au risque de transmission d’agents pathogènes. Le commerce international d’animaux sauvages est l’un de ces facteurs et, à ce titre, ces questions revêtent une grande importance du point de vue de la CITES.  </w:t>
      </w:r>
    </w:p>
    <w:p w:rsidRPr="00682E50" w:rsidR="00682E50" w:rsidP="00682E50" w:rsidRDefault="00682E50" w14:paraId="1775D96D" w14:textId="77777777">
      <w:pPr>
        <w:spacing w:line="240" w:lineRule="auto"/>
        <w:rPr>
          <w:rFonts w:ascii="Aptos" w:hAnsi="Aptos" w:eastAsia="Aptos" w:cs="Aptos"/>
          <w:lang w:val="en-US"/>
        </w:rPr>
      </w:pPr>
    </w:p>
    <w:p w:rsidR="00682E50" w:rsidP="00682E50" w:rsidRDefault="00682E50" w14:paraId="6C82B01C" w14:textId="77777777">
      <w:pPr>
        <w:spacing w:line="240" w:lineRule="auto"/>
        <w:rPr>
          <w:rFonts w:ascii="Aptos" w:hAnsi="Aptos" w:eastAsia="Aptos" w:cs="Aptos"/>
          <w:lang w:val="en-US"/>
        </w:rPr>
      </w:pPr>
      <w:r w:rsidRPr="00682E50">
        <w:rPr>
          <w:rFonts w:ascii="Aptos" w:hAnsi="Aptos" w:eastAsia="Aptos" w:cs="Aptos"/>
          <w:lang w:val="en-US"/>
        </w:rPr>
        <w:t xml:space="preserve">Nous saluons le fait que de nombreuses Parties aient pris des mesures positives pour faire face au risque de transmission d’agents pathogènes provenant de la faune sauvage (d’élevage et sauvage), mais beaucoup n’ont pas encore pris de mesures suffisantes. En mai 2024, l’OIE a publié ses </w:t>
      </w:r>
      <w:hyperlink r:id="rId18">
        <w:r w:rsidRPr="00682E50">
          <w:rPr>
            <w:rStyle w:val="Hyperlink"/>
            <w:rFonts w:ascii="Aptos" w:hAnsi="Aptos" w:eastAsia="Aptos" w:cs="Aptos"/>
            <w:i/>
            <w:iCs/>
            <w:color w:val="467886"/>
            <w:lang w:val="en-US"/>
          </w:rPr>
          <w:t xml:space="preserve">Lignes directrices pour la gestion des risques sanitaires liés au commerce</w:t>
        </w:r>
      </w:hyperlink>
      <w:r w:rsidRPr="00682E50">
        <w:rPr>
          <w:rFonts w:ascii="Aptos" w:hAnsi="Aptos" w:eastAsia="Aptos" w:cs="Aptos"/>
          <w:lang w:val="en-US"/>
        </w:rPr>
        <w:t xml:space="preserve"> des espèces</w:t>
      </w:r>
      <w:hyperlink r:id="rId18">
        <w:r w:rsidRPr="00682E50">
          <w:rPr>
            <w:rStyle w:val="Hyperlink"/>
            <w:rFonts w:ascii="Aptos" w:hAnsi="Aptos" w:eastAsia="Aptos" w:cs="Aptos"/>
            <w:i/>
            <w:iCs/>
            <w:color w:val="467886"/>
            <w:lang w:val="en-US"/>
          </w:rPr>
          <w:t xml:space="preserve"> sauvages</w:t>
        </w:r>
      </w:hyperlink>
      <w:r w:rsidRPr="00682E50">
        <w:rPr>
          <w:rFonts w:ascii="Aptos" w:hAnsi="Aptos" w:eastAsia="Aptos" w:cs="Aptos"/>
          <w:lang w:val="en-US"/>
        </w:rPr>
        <w:t xml:space="preserve">, qui fournissent aux principaux acteurs de ce commerce des orientations pour</w:t>
      </w:r>
      <w:bookmarkStart w:name="_Int_mGLM0xJ9" w:id="7"/>
      <w:r w:rsidRPr="00682E50">
        <w:rPr>
          <w:rFonts w:ascii="Aptos" w:hAnsi="Aptos" w:eastAsia="Aptos" w:cs="Aptos"/>
          <w:lang w:val="en-US"/>
        </w:rPr>
        <w:t xml:space="preserve"> identifier</w:t>
      </w:r>
      <w:bookmarkEnd w:id="7"/>
      <w:r w:rsidRPr="00682E50">
        <w:rPr>
          <w:rFonts w:ascii="Aptos" w:hAnsi="Aptos" w:eastAsia="Aptos" w:cs="Aptos"/>
          <w:lang w:val="en-US"/>
        </w:rPr>
        <w:t xml:space="preserve"> et sélectionner des stratégies de gestion des risques pragmatiques, flexibles et pertinentes, ainsi que pour garantir leur mise en œuvre effective. Nous exhortons les Parties à mettre en œuvre ces lignes directrices.  </w:t>
      </w:r>
    </w:p>
    <w:p w:rsidRPr="00682E50" w:rsidR="00682E50" w:rsidP="00682E50" w:rsidRDefault="00682E50" w14:paraId="1B5D2628" w14:textId="77777777">
      <w:pPr>
        <w:spacing w:line="240" w:lineRule="auto"/>
        <w:rPr>
          <w:rFonts w:ascii="Aptos" w:hAnsi="Aptos" w:eastAsia="Aptos" w:cs="Aptos"/>
          <w:lang w:val="en-US"/>
        </w:rPr>
      </w:pPr>
    </w:p>
    <w:p w:rsidR="00682E50" w:rsidP="00682E50" w:rsidRDefault="00682E50" w14:paraId="6CAB11BD" w14:textId="77777777">
      <w:pPr>
        <w:spacing w:line="240" w:lineRule="auto"/>
        <w:rPr>
          <w:rFonts w:ascii="Aptos" w:hAnsi="Aptos" w:eastAsia="Aptos" w:cs="Aptos"/>
          <w:lang w:val="en-US"/>
        </w:rPr>
      </w:pPr>
      <w:r w:rsidRPr="00682E50">
        <w:rPr>
          <w:rFonts w:ascii="Aptos" w:hAnsi="Aptos" w:eastAsia="Aptos" w:cs="Aptos"/>
          <w:lang w:val="en-SG"/>
        </w:rPr>
        <w:t xml:space="preserve">Nous saluons l’adoption par la COP 16 de la CDB </w:t>
      </w:r>
      <w:hyperlink r:id="rId19">
        <w:r w:rsidRPr="00682E50">
          <w:rPr>
            <w:rStyle w:val="Hyperlink"/>
            <w:rFonts w:ascii="Aptos" w:hAnsi="Aptos" w:eastAsia="Aptos" w:cs="Aptos"/>
            <w:color w:val="467886"/>
            <w:lang w:val="en-SG"/>
          </w:rPr>
          <w:t xml:space="preserve">de la décision 16/19</w:t>
        </w:r>
      </w:hyperlink>
      <w:r w:rsidRPr="00682E50">
        <w:rPr>
          <w:rFonts w:ascii="Aptos" w:hAnsi="Aptos" w:eastAsia="Aptos" w:cs="Aptos"/>
          <w:lang w:val="en-SG"/>
        </w:rPr>
        <w:t xml:space="preserve">, qui comprend </w:t>
      </w:r>
      <w:r w:rsidRPr="00682E50">
        <w:rPr>
          <w:rFonts w:ascii="Aptos" w:hAnsi="Aptos" w:eastAsia="Aptos" w:cs="Aptos"/>
        </w:rPr>
        <w:t xml:space="preserve">un </w:t>
      </w:r>
      <w:hyperlink r:id="rId20">
        <w:r w:rsidRPr="00682E50">
          <w:rPr>
            <w:rStyle w:val="Hyperlink"/>
            <w:rFonts w:ascii="Aptos" w:hAnsi="Aptos" w:eastAsia="Aptos" w:cs="Aptos"/>
            <w:i/>
            <w:iCs/>
            <w:color w:val="467886"/>
          </w:rPr>
          <w:t xml:space="preserve">Plan d’action mondial pour la biodiversité et la santé</w:t>
        </w:r>
      </w:hyperlink>
      <w:r w:rsidRPr="00682E50">
        <w:rPr>
          <w:rFonts w:ascii="Aptos" w:hAnsi="Aptos" w:eastAsia="Aptos" w:cs="Aptos"/>
        </w:rPr>
        <w:t xml:space="preserve"> (Plan d’action) prévoyant des mesures visant à intégrer les liens entre biodiversité et santé dans la mise en œuvre du Cadre mondial pour la biodiversité (GBF). Le Plan d’action prévoit notamment de prendre en compte la biodiversité et la santé, en recourant à une approche « One Health », dans la mise en œuvre des cibles du GBF, en particulier les cibles 4, 5 et 9, qui revêtent une importance particulière dans le contexte du commerce. Le </w:t>
      </w:r>
      <w:r w:rsidRPr="00682E50">
        <w:rPr>
          <w:rFonts w:ascii="Aptos" w:hAnsi="Aptos" w:eastAsia="Aptos" w:cs="Aptos"/>
          <w:lang w:val="en-SG"/>
        </w:rPr>
        <w:t xml:space="preserve">Plan</w:t>
      </w:r>
      <w:r w:rsidRPr="00682E50">
        <w:rPr>
          <w:rFonts w:ascii="Aptos" w:hAnsi="Aptos" w:eastAsia="Aptos" w:cs="Aptos"/>
        </w:rPr>
        <w:t xml:space="preserve"> d’action </w:t>
      </w:r>
      <w:r w:rsidRPr="00682E50">
        <w:rPr>
          <w:rFonts w:ascii="Aptos" w:hAnsi="Aptos" w:eastAsia="Aptos" w:cs="Aptos"/>
          <w:lang w:val="en-SG"/>
        </w:rPr>
        <w:t xml:space="preserve">formule des recommandations claires visant à réduire le risque de transmission d’agents pathogènes. Étant donné que toutes les Parties à la CITES, à l’exception d’une seule, sont également Parties à la CDB, nous exhortons le Comité de secrétariat et les Parties à la CITES à s’efforcer de mettre en œuvre le Plan d’action parallèlement à la mise en œuvre du Cadre mondial pour la biodiversité. </w:t>
      </w:r>
    </w:p>
    <w:p w:rsidRPr="00682E50" w:rsidR="00682E50" w:rsidP="00682E50" w:rsidRDefault="00682E50" w14:paraId="56CA2C7A" w14:textId="77777777">
      <w:pPr>
        <w:spacing w:line="240" w:lineRule="auto"/>
        <w:rPr>
          <w:rFonts w:ascii="Aptos" w:hAnsi="Aptos" w:eastAsia="Aptos" w:cs="Aptos"/>
          <w:lang w:val="en-US"/>
        </w:rPr>
      </w:pPr>
    </w:p>
    <w:p w:rsidR="00682E50" w:rsidP="00682E50" w:rsidRDefault="00682E50" w14:paraId="79D46B54" w14:textId="77777777">
      <w:pPr>
        <w:spacing w:line="240" w:lineRule="auto"/>
        <w:rPr>
          <w:rFonts w:ascii="Aptos" w:hAnsi="Aptos" w:eastAsia="Aptos" w:cs="Aptos"/>
          <w:lang w:val="en-US"/>
        </w:rPr>
      </w:pPr>
      <w:r w:rsidRPr="00682E50">
        <w:rPr>
          <w:rFonts w:ascii="Aptos" w:hAnsi="Aptos" w:eastAsia="Aptos" w:cs="Aptos"/>
          <w:lang w:val="en-US"/>
        </w:rPr>
        <w:lastRenderedPageBreak/>
      </w:r>
      <w:r w:rsidRPr="00682E50">
        <w:rPr>
          <w:rFonts w:ascii="Aptos" w:hAnsi="Aptos" w:eastAsia="Aptos" w:cs="Aptos"/>
          <w:lang w:val="en-US"/>
        </w:rPr>
        <w:t xml:space="preserve">La WCS attire l’attention des Parties sur une publication phare éditée par l’Alliance internationale contre les risques sanitaires liés au commerce d’animaux sauvages, intitulée « Live </w:t>
      </w:r>
      <w:r w:rsidRPr="00682E50">
        <w:rPr>
          <w:rFonts w:ascii="Aptos" w:hAnsi="Aptos" w:eastAsia="Aptos" w:cs="Aptos"/>
          <w:i/>
          <w:iCs/>
          <w:lang w:val="en-US"/>
        </w:rPr>
        <w:t xml:space="preserve">Wildlife Trade and Markets </w:t>
      </w:r>
      <w:r w:rsidRPr="00682E50">
        <w:rPr>
          <w:rFonts w:ascii="Aptos" w:hAnsi="Aptos" w:eastAsia="Aptos" w:cs="Aptos"/>
          <w:lang w:val="en-US"/>
        </w:rPr>
        <w:t xml:space="preserve">» (</w:t>
      </w:r>
      <w:hyperlink r:id="rId21">
        <w:r w:rsidRPr="00682E50">
          <w:rPr>
            <w:rStyle w:val="Hyperlink"/>
            <w:rFonts w:ascii="Aptos" w:hAnsi="Aptos" w:eastAsia="Aptos" w:cs="Aptos"/>
            <w:color w:val="467886"/>
            <w:lang w:val="en-US"/>
          </w:rPr>
          <w:t xml:space="preserve">https://alliance-health-wildlife.org/2026/05/29/new-alliance-publication-white-paper-on-live-wildlife-trade-and-markets/</w:t>
        </w:r>
      </w:hyperlink>
      <w:r w:rsidRPr="00682E50">
        <w:rPr>
          <w:rFonts w:ascii="Aptos" w:hAnsi="Aptos" w:eastAsia="Aptos" w:cs="Aptos"/>
          <w:lang w:val="en-US"/>
        </w:rPr>
        <w:t xml:space="preserve">). Ce document examine les liens entre le commerce d’animaux sauvages vivants, les risques de maladies zoonotiques, la perte de biodiversité, le bien-être animal et la sécurité sanitaire mondiale à travers une perspective globale « One Health ». S’appuyant sur les données scientifiques actuelles, il met en évidence la manière dont les chaînes de commerce d’animaux sauvages et les marchés d’animaux vivants peuvent créer des conditions propices à l’émergence, à la transmission et à la propagation des agents pathogènes. Le document explore les principaux facteurs déterminants et les facteurs de risque associés au commerce légal et illégal d’espèces sauvages, notamment le commerce international d’animaux de compagnie exotiques, le commerce en ligne, les lacunes réglementaires et les chaînes d’approvisionnement mondiales. Il présente en outre des approches axées sur la prévention et des recommandations politiques visant à réduire les risques de pandémie à la source tout en soutenant la protection de la biodiversité, le bien-être animal et l’intégrité des écosystèmes. </w:t>
      </w:r>
    </w:p>
    <w:p w:rsidRPr="00682E50" w:rsidR="00682E50" w:rsidP="00682E50" w:rsidRDefault="00682E50" w14:paraId="52A939E8" w14:textId="77777777">
      <w:pPr>
        <w:spacing w:line="240" w:lineRule="auto"/>
        <w:rPr>
          <w:rFonts w:ascii="Aptos" w:hAnsi="Aptos" w:eastAsia="Aptos" w:cs="Aptos"/>
          <w:lang w:val="en-US"/>
        </w:rPr>
      </w:pPr>
    </w:p>
    <w:p w:rsidR="00682E50" w:rsidP="00682E50" w:rsidRDefault="00682E50" w14:paraId="65267677" w14:textId="77777777">
      <w:pPr>
        <w:spacing w:line="240" w:lineRule="auto"/>
        <w:rPr>
          <w:rFonts w:ascii="Aptos" w:hAnsi="Aptos" w:eastAsia="Aptos" w:cs="Aptos"/>
          <w:lang w:val="en-US"/>
        </w:rPr>
      </w:pPr>
      <w:r w:rsidRPr="00682E50">
        <w:rPr>
          <w:rFonts w:ascii="Aptos" w:hAnsi="Aptos" w:eastAsia="Aptos" w:cs="Aptos"/>
          <w:lang w:val="en-SG"/>
        </w:rPr>
        <w:t xml:space="preserve">Concernant le document SC81 Doc. 14 : </w:t>
      </w:r>
    </w:p>
    <w:p w:rsidRPr="00682E50" w:rsidR="00682E50" w:rsidP="00682E50" w:rsidRDefault="00682E50" w14:paraId="6AE9D0BD" w14:textId="77777777">
      <w:pPr>
        <w:spacing w:line="240" w:lineRule="auto"/>
        <w:rPr>
          <w:rFonts w:ascii="Aptos" w:hAnsi="Aptos" w:eastAsia="Aptos" w:cs="Aptos"/>
          <w:lang w:val="en-US"/>
        </w:rPr>
      </w:pPr>
    </w:p>
    <w:p w:rsidRPr="00682E50" w:rsidR="00682E50" w:rsidP="00682E50" w:rsidRDefault="00682E50" w14:paraId="0F9BA44D" w14:textId="77777777">
      <w:pPr>
        <w:pStyle w:val="ListParagraph"/>
        <w:numPr>
          <w:ilvl w:val="0"/>
          <w:numId w:val="17"/>
        </w:numPr>
        <w:tabs>
          <w:tab w:val="left" w:pos="0"/>
          <w:tab w:val="left" w:pos="720"/>
        </w:tabs>
        <w:spacing w:line="240" w:lineRule="auto"/>
        <w:rPr>
          <w:rFonts w:ascii="Aptos" w:hAnsi="Aptos" w:eastAsia="Aptos" w:cs="Aptos"/>
          <w:lang w:val="en-SG"/>
        </w:rPr>
      </w:pPr>
      <w:r w:rsidRPr="00682E50">
        <w:rPr>
          <w:rFonts w:ascii="Aptos" w:hAnsi="Aptos" w:eastAsia="Aptos" w:cs="Aptos"/>
          <w:lang w:val="en-SG"/>
        </w:rPr>
        <w:t xml:space="preserve">La WCS encourage toutes les Parties à répondre à la notification aux Parties que le Comité pour les animaux a demandé au Secrétariat d’émettre, conformément à la décision 20.12, et à partager leurs expériences ainsi que leurs contributions scientifiques et techniques concernant la prévention, la détection et la maîtrise des risques de transmission d’agents pathogènes associés au commerce international d’espèces sauvages.</w:t>
      </w:r>
    </w:p>
    <w:p w:rsidRPr="00682E50" w:rsidR="00682E50" w:rsidP="00682E50" w:rsidRDefault="00682E50" w14:paraId="60FAD51E" w14:textId="77777777">
      <w:pPr>
        <w:pStyle w:val="ListParagraph"/>
        <w:numPr>
          <w:ilvl w:val="0"/>
          <w:numId w:val="16"/>
        </w:numPr>
        <w:tabs>
          <w:tab w:val="left" w:pos="0"/>
          <w:tab w:val="left" w:pos="720"/>
        </w:tabs>
        <w:spacing w:line="240" w:lineRule="auto"/>
        <w:rPr>
          <w:rFonts w:ascii="Aptos" w:hAnsi="Aptos" w:eastAsia="Aptos" w:cs="Aptos"/>
          <w:lang w:val="en-US"/>
        </w:rPr>
      </w:pPr>
      <w:r w:rsidRPr="00682E50">
        <w:rPr>
          <w:rFonts w:ascii="Aptos" w:hAnsi="Aptos" w:eastAsia="Aptos" w:cs="Aptos"/>
          <w:lang w:val="en-US"/>
        </w:rPr>
        <w:t xml:space="preserve">La WCS encourage toutes les autorités CITES à travailler en étroite collaboration avec leurs points focaux de la CDB, le cas échéant, dans la mise en œuvre du Cadre mondial pour la biodiversité (GBF), en particulier en ce qui concerne son objectif n° 5 et la mise en œuvre du Plan d’action mondial de la CDB sur la biodiversité et la santé. </w:t>
      </w:r>
    </w:p>
    <w:p w:rsidR="00682E50" w:rsidP="00682E50" w:rsidRDefault="00682E50" w14:paraId="11CED41E" w14:textId="77777777">
      <w:pPr>
        <w:pStyle w:val="ListParagraph"/>
        <w:numPr>
          <w:ilvl w:val="0"/>
          <w:numId w:val="16"/>
        </w:numPr>
        <w:tabs>
          <w:tab w:val="left" w:pos="0"/>
          <w:tab w:val="left" w:pos="720"/>
        </w:tabs>
        <w:spacing w:line="240" w:lineRule="auto"/>
        <w:rPr>
          <w:rFonts w:ascii="Aptos" w:hAnsi="Aptos" w:eastAsia="Aptos" w:cs="Aptos"/>
          <w:lang w:val="en-US"/>
        </w:rPr>
      </w:pPr>
      <w:r w:rsidRPr="00682E50">
        <w:rPr>
          <w:rFonts w:ascii="Aptos" w:hAnsi="Aptos" w:eastAsia="Aptos" w:cs="Aptos"/>
          <w:lang w:val="en-US"/>
        </w:rPr>
        <w:t xml:space="preserve">La WCS soutient la poursuite des discussions sur l’opportunité d’une résolution de la Conférence des Parties sur ces questions. Toutefois, que les Parties adoptent ou non une nouvelle résolution, les nombreuses informations et données scientifiques désormais disponibles indiquent clairement ce qui est nécessaire pour prévenir la prochaine pandémie d’origine zoonotique, notamment en ce qui concerne l’élevage commercial, la manipulation et le commerce d’oiseaux et de mammifères sauvages vivants (et fraîchement abattus). Nous en savons suffisamment pour agir, et le principe de précaution exige que des mesures soient prises de toute urgence.  </w:t>
      </w:r>
    </w:p>
    <w:p w:rsidR="00682E50" w:rsidP="00682E50" w:rsidRDefault="00682E50" w14:paraId="5BAF07F6" w14:textId="77777777">
      <w:pPr>
        <w:tabs>
          <w:tab w:val="left" w:pos="0"/>
          <w:tab w:val="left" w:pos="720"/>
        </w:tabs>
        <w:spacing w:line="240" w:lineRule="auto"/>
        <w:rPr>
          <w:rFonts w:ascii="Aptos" w:hAnsi="Aptos" w:eastAsia="Aptos" w:cs="Aptos"/>
          <w:lang w:val="en-US"/>
        </w:rPr>
      </w:pPr>
    </w:p>
    <w:p w:rsidRPr="00682E50" w:rsidR="00682E50" w:rsidP="00682E50" w:rsidRDefault="00682E50" w14:paraId="4366B4E0" w14:textId="77777777">
      <w:pPr>
        <w:tabs>
          <w:tab w:val="left" w:pos="0"/>
          <w:tab w:val="left" w:pos="720"/>
        </w:tabs>
        <w:spacing w:line="240" w:lineRule="auto"/>
        <w:rPr>
          <w:rFonts w:ascii="Aptos" w:hAnsi="Aptos" w:eastAsia="Aptos" w:cs="Aptos"/>
          <w:lang w:val="en-US"/>
        </w:rPr>
      </w:pPr>
    </w:p>
    <w:p w:rsidRPr="00682E50" w:rsidR="00682E50" w:rsidP="00682E50" w:rsidRDefault="00682E50" w14:paraId="46AC2BCF" w14:textId="29AD1694">
      <w:pPr>
        <w:pStyle w:val="Heading1"/>
        <w:rPr>
          <w:rFonts w:ascii="Aptos" w:hAnsi="Aptos"/>
          <w:sz w:val="22"/>
          <w:szCs w:val="22"/>
        </w:rPr>
      </w:pPr>
      <w:bookmarkStart w:name="_15:_Cooperation_with" w:id="8"/>
      <w:bookmarkStart w:name="_Cooperation_with_Multilateral" w:id="9"/>
      <w:bookmarkStart w:name="_Toc242563986" w:id="10"/>
      <w:bookmarkEnd w:id="8"/>
      <w:r>
        <w:rPr>
          <w:rFonts w:ascii="Aptos" w:hAnsi="Aptos"/>
          <w:sz w:val="22"/>
          <w:szCs w:val="22"/>
        </w:rPr>
        <w:t xml:space="preserve">15 : </w:t>
      </w:r>
      <w:hyperlink w:history="1" r:id="rId22">
        <w:r w:rsidRPr="00682E50">
          <w:rPr>
            <w:rStyle w:val="Hyperlink"/>
            <w:rFonts w:ascii="Aptos" w:hAnsi="Aptos"/>
            <w:sz w:val="22"/>
            <w:szCs w:val="22"/>
          </w:rPr>
          <w:t xml:space="preserve">Coopération avec les accords multilatéraux sur l’environnement et d’autres organisations internationales</w:t>
        </w:r>
        <w:bookmarkEnd w:id="9"/>
        <w:bookmarkEnd w:id="10"/>
      </w:hyperlink>
      <w:r w:rsidRPr="00682E50">
        <w:rPr>
          <w:rFonts w:ascii="Aptos" w:hAnsi="Aptos"/>
          <w:sz w:val="22"/>
          <w:szCs w:val="22"/>
        </w:rPr>
        <w:t xml:space="preserve"> </w:t>
      </w:r>
    </w:p>
    <w:p w:rsidR="00682E50" w:rsidP="00682E50" w:rsidRDefault="00682E50" w14:paraId="6A0D7AA2" w14:textId="77777777">
      <w:pPr>
        <w:pStyle w:val="SC81Normal"/>
        <w:spacing w:after="0"/>
      </w:pPr>
    </w:p>
    <w:p w:rsidR="00682E50" w:rsidP="00682E50" w:rsidRDefault="00682E50" w14:paraId="561984C8" w14:textId="087F6320">
      <w:pPr>
        <w:pStyle w:val="SC81Normal"/>
        <w:spacing w:after="0"/>
      </w:pPr>
      <w:r w:rsidRPr="00682E50">
        <w:t xml:space="preserve">Tout en prenant acte et en soutenant la collaboration en cours avec l’ONUDC dans le cadre de l’ICCWC, la WCS encourage une coordination accrue entre la CITES et la Convention des Nations unies contre la criminalité transnationale organisée (UNTOC). Cela est d’autant plus vrai compte tenu de la récente participation du Secrétariat de la CITES aux travaux du Groupe intergouvernemental d’experts de l’UNTOC sur les crimes affectant l’environnement, ainsi que du projet de résolution qui sera prochainement négocié lors de la COP13 de l’UNTOC. S’il est adopté sous sa forme actuelle, ce projet de résolution lancerait les négociations d’un protocole additionnel à l’UNTOC couvrant, entre autres crimes environnementaux, le trafic d’espèces de faune et de flore sauvages – ce qui rendrait la coordination entre l’UNTOC et la CITES encore plus importante. La WCS encourage le Comité de secrétariat à inclure l’UNTOC au paragraphe 8 (a) du document 15.</w:t>
      </w:r>
    </w:p>
    <w:p w:rsidRPr="00682E50" w:rsidR="00682E50" w:rsidP="00682E50" w:rsidRDefault="00682E50" w14:paraId="39EDAC3F" w14:textId="77777777">
      <w:pPr>
        <w:pStyle w:val="SC81Normal"/>
        <w:spacing w:after="0"/>
      </w:pPr>
    </w:p>
    <w:p w:rsidRPr="00682E50" w:rsidR="00682E50" w:rsidP="00682E50" w:rsidRDefault="00682E50" w14:paraId="2C07CBAB" w14:textId="77777777">
      <w:pPr>
        <w:pStyle w:val="SC81Normal"/>
        <w:spacing w:after="0"/>
      </w:pPr>
      <w:r w:rsidRPr="00682E50">
        <w:t xml:space="preserve">En ce qui concerne le document d’information n° 1 intitulé « Exercice de cartographie pour la stratégie de partenariat », les raisons justifiant l’inclusion de certaines organisations non gouvernementales et non d’autres restent floues, et nous suggérons d’élargir ce champ.</w:t>
      </w:r>
    </w:p>
    <w:p w:rsidR="00682E50" w:rsidP="00682E50" w:rsidRDefault="00682E50" w14:paraId="421D1EE3" w14:textId="77777777">
      <w:pPr>
        <w:spacing w:line="240" w:lineRule="auto"/>
        <w:rPr>
          <w:rFonts w:ascii="Aptos" w:hAnsi="Aptos" w:eastAsia="Aptos" w:cs="Aptos"/>
          <w:b/>
          <w:bCs/>
          <w:lang w:val="en-US"/>
        </w:rPr>
      </w:pPr>
    </w:p>
    <w:p w:rsidRPr="00682E50" w:rsidR="00682E50" w:rsidP="00682E50" w:rsidRDefault="00682E50" w14:paraId="1F980727" w14:textId="77777777">
      <w:pPr>
        <w:spacing w:line="240" w:lineRule="auto"/>
        <w:rPr>
          <w:rFonts w:ascii="Aptos" w:hAnsi="Aptos" w:eastAsia="Aptos" w:cs="Aptos"/>
          <w:b/>
          <w:bCs/>
          <w:lang w:val="en-US"/>
        </w:rPr>
      </w:pPr>
    </w:p>
    <w:p w:rsidRPr="00682E50" w:rsidR="00682E50" w:rsidP="00682E50" w:rsidRDefault="00682E50" w14:paraId="7236B40B" w14:textId="77777777">
      <w:pPr>
        <w:pStyle w:val="Heading1"/>
        <w:rPr>
          <w:rFonts w:ascii="Aptos" w:hAnsi="Aptos"/>
          <w:sz w:val="22"/>
          <w:szCs w:val="22"/>
        </w:rPr>
      </w:pPr>
      <w:bookmarkStart w:name="_16:_IPBES_Assessment" w:id="11"/>
      <w:bookmarkStart w:name="_IPBES_Assessment_report" w:id="12"/>
      <w:bookmarkStart w:name="_Toc242563987" w:id="13"/>
      <w:bookmarkEnd w:id="11"/>
      <w:r w:rsidRPr="00682E50">
        <w:rPr>
          <w:rFonts w:ascii="Aptos" w:hAnsi="Aptos"/>
          <w:sz w:val="22"/>
          <w:szCs w:val="22"/>
        </w:rPr>
        <w:t xml:space="preserve">16 : </w:t>
      </w:r>
      <w:hyperlink r:id="rId23">
        <w:r w:rsidRPr="00682E50">
          <w:rPr>
            <w:rStyle w:val="Hyperlink"/>
            <w:rFonts w:ascii="Aptos" w:hAnsi="Aptos"/>
            <w:sz w:val="22"/>
            <w:szCs w:val="22"/>
          </w:rPr>
          <w:t xml:space="preserve">Rapport d’évaluation de l’IPBES sur l’utilisation durable des espèces sauvages</w:t>
        </w:r>
        <w:bookmarkEnd w:id="12"/>
        <w:bookmarkEnd w:id="13"/>
      </w:hyperlink>
      <w:r w:rsidRPr="00682E50">
        <w:rPr>
          <w:rFonts w:ascii="Aptos" w:hAnsi="Aptos"/>
          <w:sz w:val="22"/>
          <w:szCs w:val="22"/>
        </w:rPr>
        <w:t xml:space="preserve"> </w:t>
      </w:r>
    </w:p>
    <w:p w:rsidR="00682E50" w:rsidP="00682E50" w:rsidRDefault="00682E50" w14:paraId="7845B001" w14:textId="77777777">
      <w:pPr>
        <w:pStyle w:val="Heading"/>
        <w:rPr>
          <w:b w:val="0"/>
          <w:bCs w:val="0"/>
        </w:rPr>
      </w:pPr>
    </w:p>
    <w:p w:rsidRPr="00682E50" w:rsidR="00682E50" w:rsidP="00682E50" w:rsidRDefault="00682E50" w14:paraId="37A5F213" w14:textId="2657257B">
      <w:pPr>
        <w:pStyle w:val="Heading"/>
      </w:pPr>
      <w:r w:rsidRPr="00682E50">
        <w:rPr>
          <w:b w:val="0"/>
          <w:bCs w:val="0"/>
        </w:rPr>
        <w:t xml:space="preserve">Nous recommandons une modification rédactionnelle de la proposition du Canada concernant la résolution Conf. 9.24 (Rev. CoP17) : </w:t>
      </w:r>
      <w:r w:rsidRPr="00682E50">
        <w:rPr>
          <w:b w:val="0"/>
          <w:bCs w:val="0"/>
          <w:i/>
          <w:iCs/>
        </w:rPr>
        <w:t xml:space="preserve">« Se félicitant des résultats de l’évaluation de l’IPBES sur l’utilisation durable des espèces sauvages, demandée par la CITES et la CDB, qui propose des approches axées sur les politiques et les solutions </w:t>
      </w:r>
      <w:r w:rsidRPr="00682E50">
        <w:rPr>
          <w:b w:val="0"/>
          <w:bCs w:val="0"/>
          <w:i/>
          <w:iCs/>
          <w:color w:val="C00000"/>
          <w:u w:val="single"/>
        </w:rPr>
        <w:t xml:space="preserve">afin de garantir que l’utilisation des espèces sauvages soit durable, </w:t>
      </w:r>
      <w:r w:rsidRPr="00682E50">
        <w:rPr>
          <w:b w:val="0"/>
          <w:bCs w:val="0"/>
          <w:i/>
          <w:iCs/>
          <w:strike/>
          <w:color w:val="C00000"/>
        </w:rPr>
        <w:t xml:space="preserve">dans la perspective d’une utilisation plus durable de ces espèces</w:t>
      </w:r>
      <w:r w:rsidRPr="00682E50">
        <w:rPr>
          <w:b w:val="0"/>
          <w:bCs w:val="0"/>
          <w:i/>
          <w:iCs/>
        </w:rPr>
        <w:t xml:space="preserve">. »</w:t>
      </w:r>
    </w:p>
    <w:p w:rsidRPr="00682E50" w:rsidR="00682E50" w:rsidP="00682E50" w:rsidRDefault="00682E50" w14:paraId="744481EA" w14:textId="77777777">
      <w:pPr>
        <w:pStyle w:val="Heading"/>
        <w:rPr>
          <w:b w:val="0"/>
          <w:bCs w:val="0"/>
        </w:rPr>
      </w:pPr>
    </w:p>
    <w:p w:rsidRPr="00682E50" w:rsidR="00682E50" w:rsidP="00682E50" w:rsidRDefault="00682E50" w14:paraId="0338E4FF" w14:textId="77777777">
      <w:pPr>
        <w:pStyle w:val="Heading"/>
        <w:rPr>
          <w:b w:val="0"/>
          <w:bCs w:val="0"/>
        </w:rPr>
      </w:pPr>
      <w:r w:rsidRPr="00682E50">
        <w:rPr>
          <w:b w:val="0"/>
          <w:bCs w:val="0"/>
        </w:rPr>
        <w:t xml:space="preserve">Nous estimons que la suggestion du Mexique d’examiner comment la Rés. Conf. 11.3 (Rev. CoP20) sur </w:t>
      </w:r>
      <w:r w:rsidRPr="00682E50">
        <w:rPr>
          <w:b w:val="0"/>
          <w:bCs w:val="0"/>
          <w:i/>
          <w:iCs/>
        </w:rPr>
        <w:t xml:space="preserve">la conformité et l’application </w:t>
      </w:r>
      <w:r w:rsidRPr="00682E50">
        <w:rPr>
          <w:b w:val="0"/>
          <w:bCs w:val="0"/>
        </w:rPr>
        <w:t xml:space="preserve">pourrait être modifiée afin de renforcer la réponse à la surexploitation, tout en respectant l’utilisation durable coutumière, </w:t>
      </w:r>
      <w:r w:rsidRPr="00682E50">
        <w:rPr>
          <w:b w:val="0"/>
          <w:bCs w:val="0"/>
        </w:rPr>
        <w:t xml:space="preserve">pourrait s’avérer utile</w:t>
      </w:r>
      <w:r w:rsidRPr="00682E50">
        <w:rPr>
          <w:b w:val="0"/>
          <w:bCs w:val="0"/>
        </w:rPr>
        <w:t xml:space="preserve">. Cependant, nous ne pensons pas que cela nécessite un nouveau processus de révision à durée indéterminée de la Rés. Conf. 11.3 (Rev. CoP20), qui vient d’être achevé. </w:t>
      </w:r>
    </w:p>
    <w:p w:rsidRPr="00682E50" w:rsidR="00682E50" w:rsidP="00682E50" w:rsidRDefault="00682E50" w14:paraId="38B5CF32" w14:textId="77777777">
      <w:pPr>
        <w:pStyle w:val="Heading"/>
        <w:rPr>
          <w:b w:val="0"/>
          <w:bCs w:val="0"/>
        </w:rPr>
      </w:pPr>
    </w:p>
    <w:p w:rsidRPr="00682E50" w:rsidR="00682E50" w:rsidP="00682E50" w:rsidRDefault="00682E50" w14:paraId="31DA92B9" w14:textId="77777777">
      <w:pPr>
        <w:pStyle w:val="Heading"/>
      </w:pPr>
      <w:r w:rsidRPr="00682E50">
        <w:rPr>
          <w:b w:val="0"/>
          <w:bCs w:val="0"/>
        </w:rPr>
        <w:t xml:space="preserve">Nous nous opposons fermement à ce que le Comité permanent et les Parties examinent les amendements à la résolution Conf. 9.24 (Rev. CoP17) proposés par les observateurs Conservation Force et Dallas Safari Club à la page 24. Les Parties ont déjà examiné cette option lors de la CoP20 et ont rejeté cette approche [voir </w:t>
      </w:r>
      <w:hyperlink r:id="rId24">
        <w:r w:rsidRPr="00682E50">
          <w:rPr>
            <w:rStyle w:val="Hyperlink"/>
            <w:b w:val="0"/>
            <w:bCs w:val="0"/>
          </w:rPr>
          <w:t xml:space="preserve">le compte rendu sommaire de la CoP20</w:t>
        </w:r>
      </w:hyperlink>
      <w:r w:rsidRPr="00682E50">
        <w:rPr>
          <w:b w:val="0"/>
          <w:bCs w:val="0"/>
        </w:rPr>
        <w:t xml:space="preserve">,</w:t>
      </w:r>
      <w:hyperlink r:id="rId24">
        <w:r w:rsidRPr="00682E50">
          <w:rPr>
            <w:rStyle w:val="Hyperlink"/>
            <w:b w:val="0"/>
            <w:bCs w:val="0"/>
          </w:rPr>
          <w:t xml:space="preserve"> Com. II, Rec. 4 (Rev. 1)</w:t>
        </w:r>
      </w:hyperlink>
      <w:r w:rsidRPr="00682E50">
        <w:rPr>
          <w:b w:val="0"/>
          <w:bCs w:val="0"/>
        </w:rPr>
        <w:t xml:space="preserve"> concernant le document 30 de la CoP20]. </w:t>
      </w:r>
    </w:p>
    <w:p w:rsidRPr="00682E50" w:rsidR="00682E50" w:rsidP="00682E50" w:rsidRDefault="00682E50" w14:paraId="293BA0B8" w14:textId="77777777">
      <w:pPr>
        <w:pStyle w:val="Heading"/>
        <w:rPr>
          <w:b w:val="0"/>
          <w:bCs w:val="0"/>
        </w:rPr>
      </w:pPr>
    </w:p>
    <w:p w:rsidRPr="00682E50" w:rsidR="00682E50" w:rsidP="00682E50" w:rsidRDefault="00682E50" w14:paraId="6F9180B1" w14:textId="77777777">
      <w:pPr>
        <w:pStyle w:val="Heading"/>
      </w:pPr>
      <w:r w:rsidRPr="00682E50">
        <w:rPr>
          <w:b w:val="0"/>
          <w:bCs w:val="0"/>
        </w:rPr>
        <w:t xml:space="preserve">Nous saluons l’observation du Canada selon laquelle la résolution Conf. 12.8 (Rev. CoP18) relative à </w:t>
      </w:r>
      <w:r w:rsidRPr="00682E50">
        <w:rPr>
          <w:b w:val="0"/>
          <w:bCs w:val="0"/>
          <w:i/>
          <w:iCs/>
        </w:rPr>
        <w:t xml:space="preserve">l’examen du commerce significatif de spécimens d’espèces inscrites à l’annexe II </w:t>
      </w:r>
      <w:r w:rsidRPr="00682E50">
        <w:rPr>
          <w:b w:val="0"/>
          <w:bCs w:val="0"/>
        </w:rPr>
        <w:t xml:space="preserve">contribue à lutter contre la surexploitation, mais les modifications proposées ne sont pas suffisamment claires à ce stade pour justifier une négociation du texte de la résolution ; le processus est largement respecté et suffisant à l’heure actuelle. Nous ne sommes pas d’accord avec la poursuite de l’examen des amendements proposés par les observateurs Conservation Force et Dallas Safari Club, qui étendraient la portée de la CITES au-delà de son mandat et de ses objectifs. </w:t>
      </w:r>
    </w:p>
    <w:p w:rsidR="00682E50" w:rsidP="00682E50" w:rsidRDefault="00682E50" w14:paraId="3C02FBF0" w14:textId="77777777">
      <w:pPr>
        <w:spacing w:line="240" w:lineRule="auto"/>
        <w:rPr>
          <w:rFonts w:ascii="Aptos" w:hAnsi="Aptos"/>
          <w:lang w:val="en-US"/>
        </w:rPr>
      </w:pPr>
    </w:p>
    <w:p w:rsidRPr="00682E50" w:rsidR="00682E50" w:rsidP="00682E50" w:rsidRDefault="00682E50" w14:paraId="2620126E" w14:textId="77777777">
      <w:pPr>
        <w:spacing w:line="240" w:lineRule="auto"/>
        <w:rPr>
          <w:rFonts w:ascii="Aptos" w:hAnsi="Aptos"/>
          <w:lang w:val="en-US"/>
        </w:rPr>
      </w:pPr>
    </w:p>
    <w:p w:rsidRPr="00682E50" w:rsidR="00682E50" w:rsidP="00682E50" w:rsidRDefault="00682E50" w14:paraId="598806C5" w14:textId="163CBAC9">
      <w:pPr>
        <w:pStyle w:val="Heading1"/>
        <w:rPr>
          <w:rFonts w:ascii="Aptos" w:hAnsi="Aptos"/>
          <w:sz w:val="22"/>
          <w:szCs w:val="22"/>
        </w:rPr>
      </w:pPr>
      <w:bookmarkStart w:name="_17:_Review_of" w:id="14"/>
      <w:bookmarkStart w:name="_Review_of_Resolution" w:id="15"/>
      <w:bookmarkStart w:name="_Toc242563988" w:id="16"/>
      <w:bookmarkEnd w:id="14"/>
      <w:r w:rsidRPr="00682E50">
        <w:rPr>
          <w:rFonts w:ascii="Aptos" w:hAnsi="Aptos"/>
          <w:sz w:val="22"/>
          <w:szCs w:val="22"/>
        </w:rPr>
        <w:t xml:space="preserve">17 </w:t>
      </w:r>
      <w:r>
        <w:rPr>
          <w:rFonts w:ascii="Aptos" w:hAnsi="Aptos"/>
          <w:sz w:val="22"/>
          <w:szCs w:val="22"/>
        </w:rPr>
        <w:t xml:space="preserve">: </w:t>
      </w:r>
      <w:hyperlink r:id="rId25">
        <w:r w:rsidRPr="00682E50">
          <w:rPr>
            <w:rStyle w:val="Hyperlink"/>
            <w:rFonts w:ascii="Aptos" w:hAnsi="Aptos"/>
            <w:sz w:val="22"/>
            <w:szCs w:val="22"/>
          </w:rPr>
          <w:t xml:space="preserve">Examen de la résolution Conf. 10.4 (Rev. CoP14) et de la résolution Conf. 13.2 (Rev. CoP14)</w:t>
        </w:r>
        <w:bookmarkEnd w:id="15"/>
        <w:bookmarkEnd w:id="16"/>
      </w:hyperlink>
      <w:r w:rsidRPr="00682E50">
        <w:rPr>
          <w:rFonts w:ascii="Aptos" w:hAnsi="Aptos"/>
          <w:sz w:val="22"/>
          <w:szCs w:val="22"/>
        </w:rPr>
        <w:t xml:space="preserve"> </w:t>
      </w:r>
    </w:p>
    <w:p w:rsidR="00682E50" w:rsidP="00682E50" w:rsidRDefault="00682E50" w14:paraId="12969D0C" w14:textId="77777777">
      <w:pPr>
        <w:pStyle w:val="SC81Normal"/>
        <w:spacing w:after="0"/>
      </w:pPr>
    </w:p>
    <w:p w:rsidRPr="00682E50" w:rsidR="00682E50" w:rsidP="00682E50" w:rsidRDefault="00682E50" w14:paraId="52789293" w14:textId="247E0BC7">
      <w:pPr>
        <w:pStyle w:val="SC81Normal"/>
        <w:spacing w:after="0"/>
      </w:pPr>
      <w:r w:rsidRPr="00682E50">
        <w:t xml:space="preserve">Nous recommandons que le Comité de secrétariat approuve l’option 2 : fusionner la résolution Conf. 10.4 (Rev. CoP14) et la résolution Conf. 13.2 (Rev. CoP14) en une seule résolution qui pourrait être intitulée « </w:t>
      </w:r>
      <w:r w:rsidRPr="00682E50">
        <w:rPr>
          <w:i/>
          <w:iCs/>
        </w:rPr>
        <w:t xml:space="preserve">Coopération et synergies entre la CITES et la CDB </w:t>
      </w:r>
      <w:r w:rsidRPr="00682E50">
        <w:t xml:space="preserve">».</w:t>
      </w:r>
    </w:p>
    <w:p w:rsidR="00682E50" w:rsidP="00682E50" w:rsidRDefault="00682E50" w14:paraId="07214121" w14:textId="77777777">
      <w:pPr>
        <w:pStyle w:val="SC81Normal"/>
        <w:spacing w:after="0"/>
      </w:pPr>
    </w:p>
    <w:p w:rsidRPr="00682E50" w:rsidR="00682E50" w:rsidP="00682E50" w:rsidRDefault="00682E50" w14:paraId="769BF787" w14:textId="3713A156">
      <w:pPr>
        <w:pStyle w:val="SC81Normal"/>
        <w:spacing w:after="0"/>
      </w:pPr>
      <w:r w:rsidRPr="00682E50">
        <w:t xml:space="preserve">La consolidation est préférable à l’option 1. Nous ne nous opposons pas nécessairement à l’option 3, mais celle-ci pourrait occulter des aspects importants tels que la valeur unique du mécanisme financier de la CDB pour la mise en œuvre de la CITES. </w:t>
      </w:r>
    </w:p>
    <w:p w:rsidR="00682E50" w:rsidP="00682E50" w:rsidRDefault="00682E50" w14:paraId="5873E5FC" w14:textId="77777777">
      <w:pPr>
        <w:spacing w:line="240" w:lineRule="auto"/>
        <w:rPr>
          <w:rFonts w:ascii="Aptos" w:hAnsi="Aptos" w:eastAsia="Aptos" w:cs="Aptos"/>
          <w:lang w:val="en-US"/>
        </w:rPr>
      </w:pPr>
    </w:p>
    <w:p w:rsidRPr="00682E50" w:rsidR="00682E50" w:rsidP="00682E50" w:rsidRDefault="00682E50" w14:paraId="0BF5AF9B" w14:textId="77777777">
      <w:pPr>
        <w:spacing w:line="240" w:lineRule="auto"/>
        <w:rPr>
          <w:rFonts w:ascii="Aptos" w:hAnsi="Aptos" w:eastAsia="Aptos" w:cs="Aptos"/>
          <w:lang w:val="en-US"/>
        </w:rPr>
      </w:pPr>
    </w:p>
    <w:p w:rsidRPr="00682E50" w:rsidR="00682E50" w:rsidP="00682E50" w:rsidRDefault="00682E50" w14:paraId="714ADC9F" w14:textId="2E8436B9">
      <w:pPr>
        <w:pStyle w:val="Heading1"/>
        <w:rPr>
          <w:rFonts w:ascii="Aptos" w:hAnsi="Aptos"/>
          <w:sz w:val="22"/>
          <w:szCs w:val="22"/>
        </w:rPr>
      </w:pPr>
      <w:bookmarkStart w:name="_18:_World_Wildlife" w:id="17"/>
      <w:bookmarkStart w:name="_World_Wildlife_Trade" w:id="18"/>
      <w:bookmarkStart w:name="_Toc242563989" w:id="19"/>
      <w:bookmarkEnd w:id="17"/>
      <w:r>
        <w:rPr>
          <w:rFonts w:ascii="Aptos" w:hAnsi="Aptos"/>
          <w:sz w:val="22"/>
          <w:szCs w:val="22"/>
        </w:rPr>
        <w:t xml:space="preserve">18 : </w:t>
      </w:r>
      <w:hyperlink r:id="rId26">
        <w:r w:rsidRPr="00682E50">
          <w:rPr>
            <w:rStyle w:val="Hyperlink"/>
            <w:rFonts w:ascii="Aptos" w:hAnsi="Aptos"/>
            <w:sz w:val="22"/>
            <w:szCs w:val="22"/>
          </w:rPr>
          <w:t xml:space="preserve">Rapport sur le commerce mondial des espèces sauvages (décisions 20.18 et 20.19)</w:t>
        </w:r>
        <w:bookmarkEnd w:id="18"/>
        <w:bookmarkEnd w:id="19"/>
      </w:hyperlink>
      <w:r w:rsidRPr="00682E50">
        <w:rPr>
          <w:rFonts w:ascii="Aptos" w:hAnsi="Aptos"/>
          <w:sz w:val="22"/>
          <w:szCs w:val="22"/>
        </w:rPr>
        <w:t xml:space="preserve"> </w:t>
      </w:r>
    </w:p>
    <w:p w:rsidR="00682E50" w:rsidP="00682E50" w:rsidRDefault="00682E50" w14:paraId="33528A16" w14:textId="77777777">
      <w:pPr>
        <w:pStyle w:val="Heading"/>
        <w:rPr>
          <w:b w:val="0"/>
          <w:bCs w:val="0"/>
        </w:rPr>
      </w:pPr>
    </w:p>
    <w:p w:rsidRPr="00682E50" w:rsidR="00682E50" w:rsidP="00682E50" w:rsidRDefault="00682E50" w14:paraId="5FFEA510" w14:textId="21CC3D25">
      <w:pPr>
        <w:pStyle w:val="Heading"/>
      </w:pPr>
      <w:r w:rsidRPr="00682E50">
        <w:rPr>
          <w:b w:val="0"/>
          <w:bCs w:val="0"/>
        </w:rPr>
        <w:t xml:space="preserve">La WCS ne considère pas que ce rapport doive constituer une priorité pour le Secrétariat ; toutefois, nous reconnaissons que les Parties ont fourni un financement extrabudgétaire spécifiquement à cette fin. Si ce rapport devait être élaboré, il devrait être soumis à la CoP21 en tant que document d’information. </w:t>
      </w:r>
    </w:p>
    <w:p w:rsidRPr="00682E50" w:rsidR="00682E50" w:rsidP="00682E50" w:rsidRDefault="00682E50" w14:paraId="470F46D5" w14:textId="77777777">
      <w:pPr>
        <w:pStyle w:val="Heading"/>
        <w:rPr>
          <w:b w:val="0"/>
          <w:bCs w:val="0"/>
        </w:rPr>
      </w:pPr>
    </w:p>
    <w:p w:rsidRPr="00682E50" w:rsidR="00682E50" w:rsidP="00682E50" w:rsidRDefault="00682E50" w14:paraId="301D2210" w14:textId="4298B7A7">
      <w:pPr>
        <w:pStyle w:val="Heading"/>
        <w:rPr>
          <w:b w:val="0"/>
          <w:bCs w:val="0"/>
        </w:rPr>
      </w:pPr>
      <w:r w:rsidRPr="00682E50">
        <w:rPr>
          <w:b w:val="0"/>
          <w:bCs w:val="0"/>
        </w:rPr>
        <w:t xml:space="preserve">Nous pouvons soutenir la portée d’un rapport contenant des informations sur : </w:t>
      </w:r>
    </w:p>
    <w:p w:rsidRPr="00682E50" w:rsidR="00682E50" w:rsidP="00682E50" w:rsidRDefault="00682E50" w14:paraId="68B07AA1" w14:textId="77777777">
      <w:pPr>
        <w:pStyle w:val="Heading"/>
        <w:numPr>
          <w:ilvl w:val="0"/>
          <w:numId w:val="11"/>
        </w:numPr>
        <w:rPr>
          <w:b w:val="0"/>
          <w:bCs w:val="0"/>
        </w:rPr>
      </w:pPr>
      <w:r w:rsidRPr="00682E50">
        <w:rPr>
          <w:b w:val="0"/>
          <w:bCs w:val="0"/>
        </w:rPr>
        <w:t xml:space="preserve">Portée géographique (par exemple, augmentation du nombre de Parties)</w:t>
      </w:r>
    </w:p>
    <w:p w:rsidRPr="00682E50" w:rsidR="00682E50" w:rsidP="00682E50" w:rsidRDefault="00682E50" w14:paraId="555D62E1" w14:textId="77777777">
      <w:pPr>
        <w:pStyle w:val="Heading"/>
        <w:numPr>
          <w:ilvl w:val="0"/>
          <w:numId w:val="11"/>
        </w:numPr>
        <w:rPr>
          <w:b w:val="0"/>
          <w:bCs w:val="0"/>
        </w:rPr>
      </w:pPr>
      <w:r w:rsidRPr="00682E50">
        <w:rPr>
          <w:b w:val="0"/>
          <w:bCs w:val="0"/>
        </w:rPr>
        <w:t xml:space="preserve">La couverture taxonomique des inscriptions</w:t>
      </w:r>
    </w:p>
    <w:p w:rsidRPr="00682E50" w:rsidR="00682E50" w:rsidP="00682E50" w:rsidRDefault="00682E50" w14:paraId="7AA73D42" w14:textId="77777777">
      <w:pPr>
        <w:pStyle w:val="Heading"/>
        <w:numPr>
          <w:ilvl w:val="0"/>
          <w:numId w:val="11"/>
        </w:numPr>
        <w:rPr>
          <w:b w:val="0"/>
          <w:bCs w:val="0"/>
        </w:rPr>
      </w:pPr>
      <w:r w:rsidRPr="00682E50">
        <w:rPr>
          <w:b w:val="0"/>
          <w:bCs w:val="0"/>
        </w:rPr>
        <w:t xml:space="preserve">L’ampleur des transactions portant sur les espèces inscrites à la CITES</w:t>
      </w:r>
    </w:p>
    <w:p w:rsidRPr="00682E50" w:rsidR="00682E50" w:rsidP="00682E50" w:rsidRDefault="00682E50" w14:paraId="7CE5FFEA" w14:textId="77777777">
      <w:pPr>
        <w:pStyle w:val="Heading"/>
        <w:numPr>
          <w:ilvl w:val="0"/>
          <w:numId w:val="11"/>
        </w:numPr>
        <w:rPr>
          <w:b w:val="0"/>
          <w:bCs w:val="0"/>
        </w:rPr>
      </w:pPr>
      <w:r w:rsidRPr="00682E50">
        <w:rPr>
          <w:b w:val="0"/>
          <w:bCs w:val="0"/>
        </w:rPr>
        <w:lastRenderedPageBreak/>
      </w:r>
      <w:r w:rsidRPr="00682E50">
        <w:rPr>
          <w:b w:val="0"/>
          <w:bCs w:val="0"/>
        </w:rPr>
        <w:t xml:space="preserve">Les proportions les plus significatives des exportations documentées</w:t>
      </w:r>
    </w:p>
    <w:p w:rsidRPr="00682E50" w:rsidR="00682E50" w:rsidP="00682E50" w:rsidRDefault="00682E50" w14:paraId="1E97A647" w14:textId="77777777">
      <w:pPr>
        <w:pStyle w:val="Heading"/>
        <w:numPr>
          <w:ilvl w:val="0"/>
          <w:numId w:val="11"/>
        </w:numPr>
        <w:rPr>
          <w:b w:val="0"/>
          <w:bCs w:val="0"/>
        </w:rPr>
      </w:pPr>
      <w:r w:rsidRPr="00682E50">
        <w:rPr>
          <w:b w:val="0"/>
          <w:bCs w:val="0"/>
        </w:rPr>
        <w:t xml:space="preserve">Les évolutions significatives des exportations, par exemple le passage à des spécimens élevés en captivité – lorsque ces données n’anticipent ni ne préjugent des conclusions des discussions du Comité d’évaluation (AC) et du Comité scientifique (SC) concernant l’élevage en captivité</w:t>
      </w:r>
    </w:p>
    <w:p w:rsidRPr="00682E50" w:rsidR="00682E50" w:rsidP="00682E50" w:rsidRDefault="00682E50" w14:paraId="3AD2A56B" w14:textId="77777777">
      <w:pPr>
        <w:pStyle w:val="Heading"/>
        <w:numPr>
          <w:ilvl w:val="0"/>
          <w:numId w:val="11"/>
        </w:numPr>
        <w:rPr>
          <w:b w:val="0"/>
          <w:bCs w:val="0"/>
        </w:rPr>
      </w:pPr>
      <w:r w:rsidRPr="00682E50">
        <w:rPr>
          <w:b w:val="0"/>
          <w:bCs w:val="0"/>
        </w:rPr>
        <w:t xml:space="preserve">Pleins feux sur les inscriptions récentes, avec une présentation objective qui ne privilégie pas l’expérience d’un pays par rapport à celle d’autres pays</w:t>
      </w:r>
    </w:p>
    <w:p w:rsidRPr="00682E50" w:rsidR="00682E50" w:rsidP="00682E50" w:rsidRDefault="00682E50" w14:paraId="3E20D97B" w14:textId="77777777">
      <w:pPr>
        <w:pStyle w:val="Heading"/>
        <w:numPr>
          <w:ilvl w:val="0"/>
          <w:numId w:val="11"/>
        </w:numPr>
        <w:rPr>
          <w:b w:val="0"/>
          <w:bCs w:val="0"/>
        </w:rPr>
      </w:pPr>
      <w:r w:rsidRPr="00682E50">
        <w:rPr>
          <w:b w:val="0"/>
          <w:bCs w:val="0"/>
        </w:rPr>
        <w:t xml:space="preserve">Tendances régionales en matière d’exportations</w:t>
      </w:r>
    </w:p>
    <w:p w:rsidRPr="00682E50" w:rsidR="00682E50" w:rsidP="00682E50" w:rsidRDefault="00682E50" w14:paraId="0D4414D6" w14:textId="77777777">
      <w:pPr>
        <w:pStyle w:val="Heading"/>
        <w:rPr>
          <w:b w:val="0"/>
          <w:bCs w:val="0"/>
        </w:rPr>
      </w:pPr>
    </w:p>
    <w:p w:rsidRPr="00682E50" w:rsidR="00682E50" w:rsidP="00682E50" w:rsidRDefault="00682E50" w14:paraId="07DFFE5B" w14:textId="77777777">
      <w:pPr>
        <w:pStyle w:val="Heading"/>
      </w:pPr>
      <w:r w:rsidRPr="00682E50">
        <w:rPr>
          <w:b w:val="0"/>
          <w:bCs w:val="0"/>
        </w:rPr>
        <w:t xml:space="preserve">Nous ne recommandons pas d’inclure une section sur les tendances émergentes, à moins qu’elles ne s’inscrivent dans le cadre décrit ci-dessus (par exemple, les évolutions des transactions CITES). </w:t>
      </w:r>
    </w:p>
    <w:p w:rsidR="00682E50" w:rsidP="00682E50" w:rsidRDefault="00682E50" w14:paraId="372DADC5" w14:textId="77777777">
      <w:pPr>
        <w:pStyle w:val="Heading"/>
        <w:rPr>
          <w:b w:val="0"/>
          <w:bCs w:val="0"/>
        </w:rPr>
      </w:pPr>
      <w:bookmarkStart w:name="_Compliance_Assistance_Programme" w:id="20"/>
    </w:p>
    <w:p w:rsidRPr="00682E50" w:rsidR="00682E50" w:rsidP="00682E50" w:rsidRDefault="00682E50" w14:paraId="49C5D7C0" w14:textId="77777777">
      <w:pPr>
        <w:pStyle w:val="Heading"/>
        <w:rPr>
          <w:b w:val="0"/>
          <w:bCs w:val="0"/>
        </w:rPr>
      </w:pPr>
    </w:p>
    <w:p w:rsidRPr="00682E50" w:rsidR="00682E50" w:rsidP="00682E50" w:rsidRDefault="00682E50" w14:paraId="6E7027B2" w14:textId="09384472">
      <w:pPr>
        <w:pStyle w:val="Heading1"/>
        <w:rPr>
          <w:rFonts w:ascii="Aptos" w:hAnsi="Aptos"/>
          <w:sz w:val="22"/>
          <w:szCs w:val="22"/>
          <w:lang w:val="en-SG"/>
        </w:rPr>
      </w:pPr>
      <w:bookmarkStart w:name="_23:_Compliance_Assistance" w:id="21"/>
      <w:bookmarkStart w:name="_Toc242563990" w:id="22"/>
      <w:bookmarkEnd w:id="21"/>
      <w:r>
        <w:rPr>
          <w:rFonts w:ascii="Aptos" w:hAnsi="Aptos"/>
          <w:sz w:val="22"/>
          <w:szCs w:val="22"/>
        </w:rPr>
        <w:t xml:space="preserve">23 : </w:t>
      </w:r>
      <w:hyperlink w:history="1" r:id="rId27">
        <w:r w:rsidRPr="00682E50">
          <w:rPr>
            <w:rStyle w:val="Hyperlink"/>
            <w:rFonts w:ascii="Aptos" w:hAnsi="Aptos"/>
            <w:sz w:val="22"/>
            <w:szCs w:val="22"/>
            <w:lang w:val="en-SG"/>
          </w:rPr>
          <w:t xml:space="preserve">Programme d’aide à la mise en conformité (Décision 20.26)</w:t>
        </w:r>
        <w:bookmarkEnd w:id="20"/>
        <w:bookmarkEnd w:id="22"/>
      </w:hyperlink>
      <w:r w:rsidRPr="00682E50">
        <w:rPr>
          <w:rFonts w:ascii="Aptos" w:hAnsi="Aptos"/>
          <w:sz w:val="22"/>
          <w:szCs w:val="22"/>
          <w:lang w:val="en-SG"/>
        </w:rPr>
        <w:t xml:space="preserve"> </w:t>
      </w:r>
    </w:p>
    <w:p w:rsidR="00682E50" w:rsidP="00682E50" w:rsidRDefault="00682E50" w14:paraId="08869113" w14:textId="77777777">
      <w:pPr>
        <w:spacing w:line="240" w:lineRule="auto"/>
        <w:rPr>
          <w:rFonts w:ascii="Aptos" w:hAnsi="Aptos" w:eastAsia="Aptos" w:cs="Aptos"/>
          <w:color w:val="B8CCE4" w:themeColor="accent1" w:themeTint="66"/>
          <w:lang w:val="en-SG"/>
        </w:rPr>
      </w:pPr>
    </w:p>
    <w:p w:rsidR="07F3C68A" w:rsidP="164385D1" w:rsidRDefault="07F3C68A" w14:paraId="41039E47" w14:textId="51D684A5">
      <w:pPr>
        <w:spacing w:line="240" w:lineRule="auto"/>
      </w:pPr>
      <w:r w:rsidRPr="164385D1">
        <w:rPr>
          <w:rFonts w:ascii="Aptos" w:hAnsi="Aptos" w:eastAsia="Aptos" w:cs="Aptos"/>
          <w:lang w:val="en-SG"/>
        </w:rPr>
        <w:t xml:space="preserve">La WCS salue les efforts du Secrétariat ainsi que la participation volontaire du Cambodge, de la Guinée, de la République démocratique populaire lao, du Nigeria, des Îles Salomon, du Suriname, du Togo et du Viêt Nam au CAP.   </w:t>
      </w:r>
    </w:p>
    <w:p w:rsidR="164385D1" w:rsidP="164385D1" w:rsidRDefault="164385D1" w14:paraId="2EF83AB7" w14:textId="488C4611">
      <w:pPr>
        <w:spacing w:line="240" w:lineRule="auto"/>
        <w:rPr>
          <w:rFonts w:ascii="Aptos" w:hAnsi="Aptos" w:eastAsia="Aptos" w:cs="Aptos"/>
          <w:lang w:val="en-SG"/>
        </w:rPr>
      </w:pPr>
    </w:p>
    <w:p w:rsidR="07F3C68A" w:rsidP="164385D1" w:rsidRDefault="07F3C68A" w14:paraId="2A018C7A" w14:textId="131CA906">
      <w:pPr>
        <w:spacing w:line="240" w:lineRule="auto"/>
        <w:rPr>
          <w:rFonts w:ascii="Aptos" w:hAnsi="Aptos" w:eastAsia="Aptos" w:cs="Aptos"/>
          <w:lang w:val="en-SG"/>
        </w:rPr>
      </w:pPr>
      <w:r w:rsidRPr="164385D1">
        <w:rPr>
          <w:rFonts w:ascii="Aptos" w:hAnsi="Aptos" w:eastAsia="Aptos" w:cs="Aptos"/>
          <w:lang w:val="en-SG"/>
        </w:rPr>
        <w:t xml:space="preserve">Nous saluons tout particulièrement la mention, dans le document, de délais de mise en œuvre plus longs, par opposition au délai traditionnel d’un an, car certaines des réformes structurelles soutenues par le CAP nécessitent souvent plus de temps pour aboutir à des résultats significatifs.  </w:t>
      </w:r>
    </w:p>
    <w:p w:rsidR="164385D1" w:rsidP="164385D1" w:rsidRDefault="164385D1" w14:paraId="7D469096" w14:textId="0FE70B96">
      <w:pPr>
        <w:spacing w:line="240" w:lineRule="auto"/>
        <w:rPr>
          <w:rFonts w:ascii="Aptos" w:hAnsi="Aptos" w:eastAsia="Aptos" w:cs="Aptos"/>
          <w:lang w:val="en-SG"/>
        </w:rPr>
      </w:pPr>
    </w:p>
    <w:p w:rsidR="07F3C68A" w:rsidP="164385D1" w:rsidRDefault="07F3C68A" w14:paraId="2034D689" w14:textId="20FDA6C3">
      <w:pPr>
        <w:spacing w:line="240" w:lineRule="auto"/>
        <w:rPr>
          <w:rFonts w:ascii="Aptos" w:hAnsi="Aptos" w:eastAsia="Aptos" w:cs="Aptos"/>
          <w:lang w:val="en-SG"/>
        </w:rPr>
      </w:pPr>
      <w:r w:rsidRPr="164385D1">
        <w:rPr>
          <w:rFonts w:ascii="Aptos" w:hAnsi="Aptos" w:eastAsia="Aptos" w:cs="Aptos"/>
          <w:lang w:val="en-SG"/>
        </w:rPr>
        <w:t xml:space="preserve">La WCS continue de constater que le CAP accorde une attention limitée à la mise en application et l’encourage à jouer un rôle plus actif dans le renforcement des efforts de lutte contre le commerce illégal, en complétant le travail de l’ICCWC et en comblant les lacunes critiques, dans la mesure du possible.</w:t>
      </w:r>
    </w:p>
    <w:p w:rsidR="00682E50" w:rsidP="164385D1" w:rsidRDefault="00682E50" w14:paraId="064432DA" w14:textId="77777777">
      <w:pPr>
        <w:spacing w:line="240" w:lineRule="auto"/>
        <w:rPr>
          <w:rFonts w:ascii="Aptos" w:hAnsi="Aptos" w:eastAsia="Aptos" w:cs="Aptos"/>
          <w:color w:val="B8CCE4" w:themeColor="accent1" w:themeTint="66"/>
          <w:lang w:val="en-SG"/>
        </w:rPr>
      </w:pPr>
    </w:p>
    <w:p w:rsidRPr="00682E50" w:rsidR="00682E50" w:rsidP="00682E50" w:rsidRDefault="00682E50" w14:paraId="29912716" w14:textId="77777777">
      <w:pPr>
        <w:spacing w:line="240" w:lineRule="auto"/>
        <w:rPr>
          <w:rFonts w:ascii="Aptos" w:hAnsi="Aptos" w:eastAsia="Aptos" w:cs="Aptos"/>
          <w:b/>
          <w:bCs/>
          <w:lang w:val="en-SG"/>
        </w:rPr>
      </w:pPr>
    </w:p>
    <w:p w:rsidRPr="00682E50" w:rsidR="00682E50" w:rsidP="00682E50" w:rsidRDefault="00682E50" w14:paraId="2D782E5D" w14:textId="2DFF1189">
      <w:pPr>
        <w:pStyle w:val="Heading1"/>
        <w:rPr>
          <w:rFonts w:ascii="Aptos" w:hAnsi="Aptos"/>
          <w:sz w:val="22"/>
          <w:szCs w:val="22"/>
        </w:rPr>
      </w:pPr>
      <w:bookmarkStart w:name="_27:_Indigenous_peoples" w:id="23"/>
      <w:bookmarkStart w:name="_Indigenous_peoples_and" w:id="24"/>
      <w:bookmarkStart w:name="_Toc242563991" w:id="25"/>
      <w:bookmarkEnd w:id="23"/>
      <w:r>
        <w:rPr>
          <w:rFonts w:ascii="Aptos" w:hAnsi="Aptos"/>
          <w:sz w:val="22"/>
          <w:szCs w:val="22"/>
        </w:rPr>
        <w:t xml:space="preserve">27 : </w:t>
      </w:r>
      <w:hyperlink w:history="1" r:id="rId28">
        <w:r w:rsidRPr="00682E50">
          <w:rPr>
            <w:rStyle w:val="Hyperlink"/>
            <w:rFonts w:ascii="Aptos" w:hAnsi="Aptos"/>
            <w:sz w:val="22"/>
            <w:szCs w:val="22"/>
            <w:lang w:val="en-SG"/>
          </w:rPr>
          <w:t xml:space="preserve">Peuples autochtones et communautés locales (Décision 20.33)</w:t>
        </w:r>
        <w:bookmarkEnd w:id="24"/>
        <w:bookmarkEnd w:id="25"/>
      </w:hyperlink>
      <w:r w:rsidRPr="00682E50">
        <w:rPr>
          <w:rFonts w:ascii="Aptos" w:hAnsi="Aptos"/>
          <w:sz w:val="22"/>
          <w:szCs w:val="22"/>
          <w:lang w:val="en-SG"/>
        </w:rPr>
        <w:t xml:space="preserve"> </w:t>
      </w:r>
    </w:p>
    <w:p w:rsidR="00682E50" w:rsidP="00682E50" w:rsidRDefault="00682E50" w14:paraId="590F16F9" w14:textId="77777777">
      <w:pPr>
        <w:spacing w:line="240" w:lineRule="auto"/>
        <w:rPr>
          <w:rFonts w:ascii="Aptos" w:hAnsi="Aptos" w:eastAsia="Aptos" w:cs="Aptos"/>
          <w:lang w:val="en-US"/>
        </w:rPr>
      </w:pPr>
    </w:p>
    <w:p w:rsidRPr="00682E50" w:rsidR="00682E50" w:rsidP="00682E50" w:rsidRDefault="00682E50" w14:paraId="769782EB" w14:textId="376FDA1B">
      <w:pPr>
        <w:spacing w:line="240" w:lineRule="auto"/>
        <w:rPr>
          <w:rFonts w:ascii="Aptos" w:hAnsi="Aptos" w:eastAsia="Aptos" w:cs="Aptos"/>
          <w:lang w:val="en-US"/>
        </w:rPr>
      </w:pPr>
      <w:r w:rsidRPr="00682E50">
        <w:rPr>
          <w:rFonts w:ascii="Aptos" w:hAnsi="Aptos" w:eastAsia="Aptos" w:cs="Aptos"/>
          <w:lang w:val="en-US"/>
        </w:rPr>
        <w:t xml:space="preserve">La WCS comprend, respecte et soutient pleinement le rôle essentiel que jouent les peuples autochtones et les communautés locales dans la conservation à travers le monde. Nous reconnaissons et respectons pleinement leurs droits tels qu’ils sont consacrés par la Déclaration des Nations unies sur les droits des peuples autochtones (UNDRIP) et la Déclaration universelle des droits de l’homme. Partout dans le monde, dans le cadre de nos programmes de terrain menés dans plus de 55 pays, la WCS collabore avec les peuples autochtones et les communautés locales afin de concrétiser une vision commune d’un avenir plus sûr, inclusif, juste, équitable et résilient, où la faune sauvage prospère sur des terres et des mers saines, valorisées par des sociétés et des communautés qui embrassent et tirent profit de la diversité et de l’intégrité de la vie sur Terre. </w:t>
      </w:r>
    </w:p>
    <w:p w:rsidR="00682E50" w:rsidP="00682E50" w:rsidRDefault="00682E50" w14:paraId="6983F331" w14:textId="77777777">
      <w:pPr>
        <w:spacing w:line="240" w:lineRule="auto"/>
        <w:rPr>
          <w:rFonts w:ascii="Aptos" w:hAnsi="Aptos" w:eastAsia="Aptos" w:cs="Aptos"/>
          <w:lang w:val="en-US"/>
        </w:rPr>
      </w:pPr>
    </w:p>
    <w:p w:rsidRPr="00682E50" w:rsidR="00682E50" w:rsidP="00682E50" w:rsidRDefault="00682E50" w14:paraId="2D86691C" w14:textId="32F12E24">
      <w:pPr>
        <w:spacing w:line="240" w:lineRule="auto"/>
        <w:rPr>
          <w:rFonts w:ascii="Aptos" w:hAnsi="Aptos" w:eastAsia="Aptos" w:cs="Aptos"/>
          <w:lang w:val="en-US"/>
        </w:rPr>
      </w:pPr>
      <w:r w:rsidRPr="00682E50">
        <w:rPr>
          <w:rFonts w:ascii="Aptos" w:hAnsi="Aptos" w:eastAsia="Aptos" w:cs="Aptos"/>
          <w:lang w:val="en-US"/>
        </w:rPr>
        <w:t xml:space="preserve">La WCS estime que les gouvernements des Parties doivent s’engager de manière solide et significative auprès des peuples autochtones et des communautés locales dans la mise en œuvre et l’application de la CITES, conformément à leurs cadres juridiques respectifs. Nous soutenons fermement la participation, au niveau national, des peuples autochtones et des communautés locales à la mise en œuvre et à l’application de la CITES, ainsi qu’à la réalisation de </w:t>
      </w:r>
      <w:hyperlink r:id="rId29">
        <w:r w:rsidRPr="00682E50">
          <w:rPr>
            <w:rStyle w:val="Hyperlink"/>
            <w:rFonts w:ascii="Aptos" w:hAnsi="Aptos" w:eastAsia="Aptos" w:cs="Aptos"/>
            <w:color w:val="467886"/>
            <w:lang w:val="en-US"/>
          </w:rPr>
          <w:t xml:space="preserve">l’objectif n° 5</w:t>
        </w:r>
      </w:hyperlink>
      <w:r w:rsidRPr="00682E50">
        <w:rPr>
          <w:rFonts w:ascii="Aptos" w:hAnsi="Aptos" w:eastAsia="Aptos" w:cs="Aptos"/>
          <w:lang w:val="en-US"/>
        </w:rPr>
        <w:t xml:space="preserve"> du Cadre mondial pour la biodiversité (GBF). À cette fin, nous soutenons fermement les processus nationaux visant à associer les peuples autochtones et les communautés locales aux processus et réunions de la CITES, afin de garantir que leurs voix soient dûment représentées.   </w:t>
      </w:r>
    </w:p>
    <w:p w:rsidR="00682E50" w:rsidP="00682E50" w:rsidRDefault="00682E50" w14:paraId="0442D4E7" w14:textId="77777777">
      <w:pPr>
        <w:spacing w:line="240" w:lineRule="auto"/>
        <w:rPr>
          <w:rFonts w:ascii="Aptos" w:hAnsi="Aptos" w:eastAsia="Aptos" w:cs="Aptos"/>
          <w:lang w:val="en-US"/>
        </w:rPr>
      </w:pPr>
    </w:p>
    <w:p w:rsidRPr="00682E50" w:rsidR="00682E50" w:rsidP="00682E50" w:rsidRDefault="00682E50" w14:paraId="187B14B1" w14:textId="06159005">
      <w:pPr>
        <w:spacing w:line="240" w:lineRule="auto"/>
        <w:rPr>
          <w:rFonts w:ascii="Aptos" w:hAnsi="Aptos" w:eastAsia="Aptos" w:cs="Aptos"/>
          <w:lang w:val="en-US"/>
        </w:rPr>
      </w:pPr>
      <w:r w:rsidRPr="00682E50">
        <w:rPr>
          <w:rFonts w:ascii="Aptos" w:hAnsi="Aptos" w:eastAsia="Aptos" w:cs="Aptos"/>
          <w:lang w:val="en-US"/>
        </w:rPr>
        <w:t xml:space="preserve">Nous constatons qu’outre les avantages économiques et autres avantages liés aux moyens de subsistance qui peuvent découler d’</w:t>
      </w:r>
      <w:r w:rsidRPr="00682E50">
        <w:rPr>
          <w:rFonts w:ascii="Aptos" w:hAnsi="Aptos" w:eastAsia="Aptos" w:cs="Aptos"/>
          <w:lang w:val="en-US"/>
        </w:rPr>
        <w:t xml:space="preserve">une mise en œuvre efficace et équitable de la CITES et de la législation nationale, il existe un risque important de préjudice pour les moyens de subsistance locaux et les valeurs culturelles si l’exploitation et le commerce de la faune sauvage sont illégaux et/ou non durables, ou s’ils présentent un risque de propagation d’agents pathogènes. Par définition, le commerce procure toujours un bénéfice économique à quelqu’un, mais il est rare que celui-ci revienne de manière significative et équitable aux peuples </w:t>
      </w:r>
      <w:r w:rsidRPr="00682E50">
        <w:rPr>
          <w:rFonts w:ascii="Aptos" w:hAnsi="Aptos" w:eastAsia="Aptos" w:cs="Aptos"/>
          <w:lang w:val="en-US"/>
        </w:rPr>
        <w:t xml:space="preserve">autochtones</w:t>
      </w:r>
      <w:r w:rsidRPr="00682E50">
        <w:rPr>
          <w:rFonts w:ascii="Aptos" w:hAnsi="Aptos" w:eastAsia="Aptos" w:cs="Aptos"/>
          <w:lang w:val="en-US"/>
        </w:rPr>
        <w:t xml:space="preserve"> ou </w:t>
      </w:r>
      <w:r w:rsidRPr="00682E50">
        <w:rPr>
          <w:rFonts w:ascii="Aptos" w:hAnsi="Aptos" w:eastAsia="Aptos" w:cs="Aptos"/>
          <w:lang w:val="en-US"/>
        </w:rPr>
        <w:t xml:space="preserve">aux communautés locales d’</w:t>
      </w:r>
      <w:r w:rsidRPr="00682E50">
        <w:rPr>
          <w:rFonts w:ascii="Aptos" w:hAnsi="Aptos" w:eastAsia="Aptos" w:cs="Aptos"/>
          <w:lang w:val="en-US"/>
        </w:rPr>
        <w:lastRenderedPageBreak/>
      </w:r>
      <w:r w:rsidRPr="00682E50">
        <w:rPr>
          <w:rFonts w:ascii="Aptos" w:hAnsi="Aptos" w:eastAsia="Aptos" w:cs="Aptos"/>
          <w:lang w:val="en-US"/>
        </w:rPr>
        <w:t xml:space="preserve"> . Dans de trop nombreux cas, l’exploitation commerciale et le commerce de la faune sauvage n’apportent que des avantages économiques marginaux et portent atteinte aux droits, aux moyens de subsistance, au bien-être et aux valeurs socioculturelles des peuples autochtones. </w:t>
      </w:r>
    </w:p>
    <w:p w:rsidR="00682E50" w:rsidP="00682E50" w:rsidRDefault="00682E50" w14:paraId="5F067611" w14:textId="77777777">
      <w:pPr>
        <w:spacing w:line="240" w:lineRule="auto"/>
        <w:rPr>
          <w:rFonts w:ascii="Aptos" w:hAnsi="Aptos" w:eastAsia="Aptos" w:cs="Aptos"/>
          <w:lang w:val="en-US"/>
        </w:rPr>
      </w:pPr>
    </w:p>
    <w:p w:rsidRPr="00682E50" w:rsidR="00682E50" w:rsidP="00682E50" w:rsidRDefault="00682E50" w14:paraId="44D582A6" w14:textId="12EE6788">
      <w:pPr>
        <w:spacing w:line="240" w:lineRule="auto"/>
        <w:rPr>
          <w:rFonts w:ascii="Aptos" w:hAnsi="Aptos" w:eastAsia="Aptos" w:cs="Aptos"/>
          <w:lang w:val="en-US"/>
        </w:rPr>
      </w:pPr>
      <w:r w:rsidRPr="00682E50">
        <w:rPr>
          <w:rFonts w:ascii="Aptos" w:hAnsi="Aptos" w:eastAsia="Aptos" w:cs="Aptos"/>
          <w:lang w:val="en-US"/>
        </w:rPr>
        <w:t xml:space="preserve">Nous soulignons que certains partent du principe que les moyens de subsistance des peuples autochtones et des communautés locales seront toujours affectés négativement par les restrictions de la CITES sur le marché, sans tenir compte du risque de porter atteinte à des visions du monde alternatives en se concentrant exclusivement sur les marchés.  De nombreuses organisations de peuples autochtones, par exemple, ont fait part de leurs préoccupations dans d’autres instances, estimant que la promotion d’une approche fondée sur le marché sape les efforts visant à s’opposer à une telle approche et à protéger leur intégrité culturelle et leurs économies traditionnelles. En effet, la CITES devrait peut-être également examiner dans quelle mesure le commerce des espèces sauvages, une approche fondée sur le marché et l’exploitation de certaines espèces à des fins lucratives risquent de porter atteinte à l’intégrité culturelle et aux traditions des peuples autochtones. </w:t>
      </w:r>
    </w:p>
    <w:p w:rsidR="00682E50" w:rsidP="00682E50" w:rsidRDefault="00682E50" w14:paraId="23EE9FA5" w14:textId="77777777">
      <w:pPr>
        <w:spacing w:line="240" w:lineRule="auto"/>
        <w:rPr>
          <w:rFonts w:ascii="Aptos" w:hAnsi="Aptos" w:eastAsia="Aptos" w:cs="Aptos"/>
          <w:lang w:val="en-US"/>
        </w:rPr>
      </w:pPr>
    </w:p>
    <w:p w:rsidRPr="00682E50" w:rsidR="00682E50" w:rsidP="00682E50" w:rsidRDefault="00682E50" w14:paraId="4E01E48F" w14:textId="15EC43B8">
      <w:pPr>
        <w:spacing w:line="240" w:lineRule="auto"/>
        <w:rPr>
          <w:rFonts w:ascii="Aptos" w:hAnsi="Aptos" w:eastAsia="Aptos" w:cs="Aptos"/>
          <w:lang w:val="en-US"/>
        </w:rPr>
      </w:pPr>
      <w:r w:rsidRPr="00682E50">
        <w:rPr>
          <w:rFonts w:ascii="Aptos" w:hAnsi="Aptos" w:eastAsia="Aptos" w:cs="Aptos"/>
          <w:lang w:val="en-US"/>
        </w:rPr>
        <w:t xml:space="preserve">Nous soutenons la participation des organisations de peuples autochtones aux réunions de la CITES en tant qu’observateurs. Nous sommes également favorables à la création d’un fonds distinct destiné à faciliter leur participation aux réunions, à condition qu’il s’ajoute au Fonds de voyage des délégués et qu’il ne désavantage aucune autorité de pays en développement membre de la CITES dans sa participation aux réunions de la CITES. Nous ne soutenons pas l’utilisation d’un code couleur ou d’un autocollant spécial permettant d’identifier une personne comme représentant d’une organisation de peuples autochtones ou d’une communauté locale ; nous craignons que cela ne se retourne contre nous. Certaines ONG et OIG, par exemple (dont la WCS), comptent parmi leurs délégations des personnes qui s’identifient elles-mêmes comme autochtones, mais qui pourraient ne pas souhaiter porter une telle étiquette. </w:t>
      </w:r>
    </w:p>
    <w:p w:rsidR="00682E50" w:rsidP="00682E50" w:rsidRDefault="00682E50" w14:paraId="0B086EDF" w14:textId="77777777">
      <w:pPr>
        <w:spacing w:line="240" w:lineRule="auto"/>
        <w:rPr>
          <w:rFonts w:ascii="Aptos" w:hAnsi="Aptos" w:eastAsia="Aptos" w:cs="Aptos"/>
          <w:lang w:val="en-US"/>
        </w:rPr>
      </w:pPr>
    </w:p>
    <w:p w:rsidRPr="00682E50" w:rsidR="00682E50" w:rsidP="00682E50" w:rsidRDefault="00682E50" w14:paraId="39AA1C04" w14:textId="146F4074">
      <w:pPr>
        <w:spacing w:line="240" w:lineRule="auto"/>
        <w:rPr>
          <w:rFonts w:ascii="Aptos" w:hAnsi="Aptos" w:eastAsia="Aptos" w:cs="Aptos"/>
          <w:lang w:val="en-US"/>
        </w:rPr>
      </w:pPr>
      <w:r w:rsidRPr="00682E50">
        <w:rPr>
          <w:rFonts w:ascii="Aptos" w:hAnsi="Aptos" w:eastAsia="Aptos" w:cs="Aptos"/>
          <w:lang w:val="en-US"/>
        </w:rPr>
        <w:t xml:space="preserve">La WCS recommande vivement que les « Lignes directrices relatives à la consultation des peuples autochtones et des communautés locales sur les propositions d’amendement des annexes » restent clairement facultatives et non contraignantes. Elles sont publiées sur le site web de la CITES, et les Parties peuvent facilement les télécharger. Nous ne recommandons pas d’intégrer ces lignes directrices dans une résolution de la CoP, ce qui leur donnerait un caractère plus contraignant. Ces lignes directrices contiennent des éléments utiles, dont l’utilité varie en fonction du contexte national ; leur inclusion dans une résolution pourrait conduire à ce qu’elles soient perçues ou utilisées comme un obstacle à la préparation ou à la soumission de propositions visant à modifier les annexes de la CITES. Nous partageons l’avis des Parties qui ont souligné à plusieurs reprises que la collaboration avec les peuples autochtones et les communautés locales doit être abordée au niveau national et qu’il appartient à chaque Partie de décider de la manière de collaborer avec les communautés et les autres parties prenantes, en fonction de ses lois, politiques, histoire et circonstances nationales. Certains pays ne comptent pas de peuples autochtones ou ne les reconnaissent pas, tandis que d’autres sont soumis à des exigences juridiques strictes et à des obligations découlant de traités. Le Secrétariat ou d’autres Parties ne devraient pas intervenir dans ces actions menées au niveau national. </w:t>
      </w:r>
    </w:p>
    <w:p w:rsidR="00682E50" w:rsidP="00682E50" w:rsidRDefault="00682E50" w14:paraId="4828D115" w14:textId="77777777">
      <w:pPr>
        <w:spacing w:line="240" w:lineRule="auto"/>
        <w:rPr>
          <w:rFonts w:ascii="Aptos" w:hAnsi="Aptos" w:eastAsia="Aptos" w:cs="Aptos"/>
          <w:lang w:val="en-US"/>
        </w:rPr>
      </w:pPr>
    </w:p>
    <w:p w:rsidR="00682E50" w:rsidP="00682E50" w:rsidRDefault="00682E50" w14:paraId="4E0185AB" w14:textId="50F553BF">
      <w:pPr>
        <w:spacing w:line="240" w:lineRule="auto"/>
        <w:rPr>
          <w:rFonts w:ascii="Aptos" w:hAnsi="Aptos" w:eastAsia="Aptos" w:cs="Aptos"/>
          <w:lang w:val="en-US"/>
        </w:rPr>
      </w:pPr>
      <w:r w:rsidRPr="00682E50">
        <w:rPr>
          <w:rFonts w:ascii="Aptos" w:hAnsi="Aptos" w:eastAsia="Aptos" w:cs="Aptos"/>
          <w:lang w:val="en-US"/>
        </w:rPr>
        <w:t xml:space="preserve">En ce qui concerne les recommandations figurant dans le document (paragraphe 19) : </w:t>
      </w:r>
    </w:p>
    <w:p w:rsidRPr="00682E50" w:rsidR="00682E50" w:rsidP="00682E50" w:rsidRDefault="00682E50" w14:paraId="2C5EC64F" w14:textId="77777777">
      <w:pPr>
        <w:spacing w:line="240" w:lineRule="auto"/>
        <w:rPr>
          <w:rFonts w:ascii="Aptos" w:hAnsi="Aptos" w:eastAsia="Aptos" w:cs="Aptos"/>
          <w:lang w:val="en-US"/>
        </w:rPr>
      </w:pPr>
    </w:p>
    <w:p w:rsidRPr="00682E50" w:rsidR="00682E50" w:rsidP="00682E50" w:rsidRDefault="00682E50" w14:paraId="2B71BE26" w14:textId="77777777">
      <w:pPr>
        <w:pStyle w:val="ListParagraph"/>
        <w:numPr>
          <w:ilvl w:val="0"/>
          <w:numId w:val="8"/>
        </w:numPr>
        <w:tabs>
          <w:tab w:val="left" w:pos="0"/>
          <w:tab w:val="left" w:pos="720"/>
        </w:tabs>
        <w:spacing w:line="240" w:lineRule="auto"/>
        <w:rPr>
          <w:rFonts w:ascii="Aptos" w:hAnsi="Aptos" w:eastAsia="Aptos" w:cs="Aptos"/>
        </w:rPr>
      </w:pPr>
      <w:r w:rsidRPr="00682E50">
        <w:rPr>
          <w:rFonts w:ascii="Aptos" w:hAnsi="Aptos" w:eastAsia="Aptos" w:cs="Aptos"/>
        </w:rPr>
        <w:t xml:space="preserve">Nous considérons que les alinéas a) et b) sont acceptables. </w:t>
      </w:r>
    </w:p>
    <w:p w:rsidRPr="00682E50" w:rsidR="00682E50" w:rsidP="00682E50" w:rsidRDefault="00682E50" w14:paraId="45988727" w14:textId="77777777">
      <w:pPr>
        <w:pStyle w:val="ListParagraph"/>
        <w:numPr>
          <w:ilvl w:val="0"/>
          <w:numId w:val="8"/>
        </w:numPr>
        <w:tabs>
          <w:tab w:val="left" w:pos="0"/>
          <w:tab w:val="left" w:pos="720"/>
        </w:tabs>
        <w:spacing w:line="240" w:lineRule="auto"/>
        <w:rPr>
          <w:rFonts w:ascii="Aptos" w:hAnsi="Aptos" w:eastAsia="Aptos" w:cs="Aptos"/>
          <w:lang w:val="en-US"/>
        </w:rPr>
      </w:pPr>
      <w:r w:rsidRPr="00682E50">
        <w:rPr>
          <w:rFonts w:ascii="Aptos" w:hAnsi="Aptos" w:eastAsia="Aptos" w:cs="Aptos"/>
        </w:rPr>
        <w:t xml:space="preserve">Nous recommandons de modifier l’alinéa c) comme suit : </w:t>
      </w:r>
      <w:r w:rsidRPr="00682E50">
        <w:rPr>
          <w:rFonts w:ascii="Aptos" w:hAnsi="Aptos" w:eastAsia="Aptos" w:cs="Aptos"/>
          <w:color w:val="000000" w:themeColor="text1"/>
          <w:lang w:val="en-US"/>
        </w:rPr>
        <w:t xml:space="preserve">« </w:t>
      </w:r>
      <w:r w:rsidRPr="00682E50">
        <w:rPr>
          <w:rFonts w:ascii="Aptos" w:hAnsi="Aptos" w:eastAsia="Aptos" w:cs="Aptos"/>
          <w:lang w:val="en-US"/>
        </w:rPr>
        <w:t xml:space="preserve">demander au Président, si cela est approprié </w:t>
      </w:r>
      <w:r w:rsidRPr="00682E50">
        <w:rPr>
          <w:rFonts w:ascii="Aptos" w:hAnsi="Aptos" w:eastAsia="Aptos" w:cs="Aptos"/>
          <w:u w:val="single"/>
          <w:lang w:val="en-US"/>
        </w:rPr>
        <w:t xml:space="preserve">et justifié</w:t>
      </w:r>
      <w:r w:rsidRPr="00682E50">
        <w:rPr>
          <w:rFonts w:ascii="Aptos" w:hAnsi="Aptos" w:eastAsia="Aptos" w:cs="Aptos"/>
          <w:lang w:val="en-US"/>
        </w:rPr>
        <w:t xml:space="preserve">, </w:t>
      </w:r>
      <w:r w:rsidRPr="00682E50">
        <w:rPr>
          <w:rFonts w:ascii="Aptos" w:hAnsi="Aptos" w:eastAsia="Aptos" w:cs="Aptos"/>
          <w:lang w:val="en-US"/>
        </w:rPr>
        <w:t xml:space="preserve">de </w:t>
      </w:r>
      <w:r w:rsidRPr="00682E50">
        <w:rPr>
          <w:rFonts w:ascii="Aptos" w:hAnsi="Aptos" w:eastAsia="Aptos" w:cs="Aptos"/>
          <w:lang w:val="en-US"/>
        </w:rPr>
        <w:t xml:space="preserve">proposer des révisions aux Lignes directrices pour examen par la 21e réunion de la Conférence des Parties ; </w:t>
      </w:r>
    </w:p>
    <w:p w:rsidRPr="00682E50" w:rsidR="00682E50" w:rsidP="00682E50" w:rsidRDefault="00682E50" w14:paraId="0785CAB9" w14:textId="77777777">
      <w:pPr>
        <w:pStyle w:val="ListParagraph"/>
        <w:numPr>
          <w:ilvl w:val="0"/>
          <w:numId w:val="7"/>
        </w:numPr>
        <w:tabs>
          <w:tab w:val="left" w:pos="0"/>
          <w:tab w:val="left" w:pos="720"/>
        </w:tabs>
        <w:spacing w:line="240" w:lineRule="auto"/>
        <w:rPr>
          <w:rFonts w:ascii="Aptos" w:hAnsi="Aptos" w:eastAsia="Aptos" w:cs="Aptos"/>
          <w:lang w:val="en-US"/>
        </w:rPr>
      </w:pPr>
      <w:r w:rsidRPr="00682E50">
        <w:rPr>
          <w:rFonts w:ascii="Aptos" w:hAnsi="Aptos" w:eastAsia="Aptos" w:cs="Aptos"/>
        </w:rPr>
        <w:t xml:space="preserve">Alinéa d) : nous estimons qu’il est prématuré pour le Comité de secrétariat d’approuver les amendements proposés à la résolution </w:t>
      </w:r>
      <w:r w:rsidRPr="00682E50">
        <w:rPr>
          <w:rFonts w:ascii="Aptos" w:hAnsi="Aptos" w:eastAsia="Aptos" w:cs="Aptos"/>
          <w:lang w:val="en-US"/>
        </w:rPr>
        <w:t xml:space="preserve">Conf. 16.6 (Rev. CoP18) sur les moyens de subsistance. Hormis la référence à l’objectif 5 du Cadre mondial pour la biodiversité (GBF) dans le préambule, qui est acceptable, nous ne voyons pas la nécessité des amendements proposés. Nous recommandons de laisser aux Parties le temps d’utiliser les orientations non contraignantes. Certains des amendements proposés sont par ailleurs quelque peu normatifs ; nous préférons faire confiance aux Parties pour</w:t>
      </w:r>
      <w:r w:rsidRPr="00682E50">
        <w:rPr>
          <w:rFonts w:ascii="Aptos" w:hAnsi="Aptos" w:eastAsia="Aptos" w:cs="Aptos"/>
          <w:lang w:val="en-US"/>
        </w:rPr>
        <w:lastRenderedPageBreak/>
      </w:r>
      <w:r w:rsidRPr="00682E50">
        <w:rPr>
          <w:rFonts w:ascii="Aptos" w:hAnsi="Aptos" w:eastAsia="Aptos" w:cs="Aptos"/>
          <w:lang w:val="en-US"/>
        </w:rPr>
        <w:t xml:space="preserve"> consulter les peuples autochtones et les communautés locales de leur pays, en fonction de leur législation nationale et de leur contexte particulier. </w:t>
      </w:r>
    </w:p>
    <w:p w:rsidRPr="00682E50" w:rsidR="00682E50" w:rsidP="00682E50" w:rsidRDefault="00682E50" w14:paraId="32BECFBC" w14:textId="77777777">
      <w:pPr>
        <w:pStyle w:val="ListParagraph"/>
        <w:numPr>
          <w:ilvl w:val="0"/>
          <w:numId w:val="6"/>
        </w:numPr>
        <w:tabs>
          <w:tab w:val="left" w:pos="0"/>
          <w:tab w:val="left" w:pos="720"/>
        </w:tabs>
        <w:spacing w:line="240" w:lineRule="auto"/>
        <w:rPr>
          <w:rFonts w:ascii="Aptos" w:hAnsi="Aptos" w:eastAsia="Aptos" w:cs="Aptos"/>
          <w:lang w:val="en-US"/>
        </w:rPr>
      </w:pPr>
      <w:r w:rsidRPr="00682E50">
        <w:rPr>
          <w:rFonts w:ascii="Aptos" w:hAnsi="Aptos" w:eastAsia="Aptos" w:cs="Aptos"/>
          <w:lang w:val="en-US"/>
        </w:rPr>
        <w:t xml:space="preserve">Alinéa e) : Compte tenu des contraintes financières et de capacités auxquelles est actuellement confronté le Secrétariat, nous ne voyons pas l’intérêt de lui demander de concevoir et de mettre en œuvre un tel système de codification des badges lors des prochaines réunions des comités permanents de la CITES et de la </w:t>
      </w:r>
      <w:r w:rsidRPr="00682E50">
        <w:rPr>
          <w:rFonts w:ascii="Aptos" w:hAnsi="Aptos" w:eastAsia="Aptos" w:cs="Aptos"/>
          <w:lang w:val="en-US"/>
        </w:rPr>
        <w:t xml:space="preserve">CoP.</w:t>
      </w:r>
    </w:p>
    <w:p w:rsidRPr="00682E50" w:rsidR="00682E50" w:rsidP="00682E50" w:rsidRDefault="00682E50" w14:paraId="5D341F6F" w14:textId="77777777">
      <w:pPr>
        <w:pStyle w:val="ListParagraph"/>
        <w:numPr>
          <w:ilvl w:val="0"/>
          <w:numId w:val="6"/>
        </w:numPr>
        <w:tabs>
          <w:tab w:val="left" w:pos="0"/>
          <w:tab w:val="left" w:pos="720"/>
        </w:tabs>
        <w:spacing w:line="240" w:lineRule="auto"/>
        <w:rPr>
          <w:rFonts w:ascii="Aptos" w:hAnsi="Aptos" w:eastAsia="Aptos" w:cs="Aptos"/>
          <w:lang w:val="en-US"/>
        </w:rPr>
      </w:pPr>
      <w:r w:rsidRPr="00682E50">
        <w:rPr>
          <w:rFonts w:ascii="Aptos" w:hAnsi="Aptos" w:eastAsia="Aptos" w:cs="Aptos"/>
          <w:lang w:val="en-US"/>
        </w:rPr>
        <w:t xml:space="preserve">Alinéa f) : En ce qui concerne la terminologie, la WCS continue de privilégier l’expression « peuples autochtones et communautés locales », plutôt que celle de « communautés rurales », car la première est largement acceptée dans les instances multilatérales. La CDB n’ayant pas encore achevé la révision de son glossaire volontaire des termes clés liés à ce sujet, nous estimons qu’il est prudent que la CITES attende la publication du glossaire de la CDB (en notant que toutes les Parties à la CITES, à l’exception d’une seule, sont également Parties à la CDB).</w:t>
      </w:r>
    </w:p>
    <w:p w:rsidR="00682E50" w:rsidP="00682E50" w:rsidRDefault="00682E50" w14:paraId="33A6D1BF" w14:textId="77777777">
      <w:pPr>
        <w:spacing w:line="240" w:lineRule="auto"/>
        <w:rPr>
          <w:rFonts w:ascii="Aptos" w:hAnsi="Aptos"/>
          <w:lang w:val="en-SG"/>
        </w:rPr>
      </w:pPr>
    </w:p>
    <w:p w:rsidRPr="00682E50" w:rsidR="00682E50" w:rsidP="00682E50" w:rsidRDefault="00682E50" w14:paraId="40AD9874" w14:textId="77777777">
      <w:pPr>
        <w:spacing w:line="240" w:lineRule="auto"/>
        <w:rPr>
          <w:rFonts w:ascii="Aptos" w:hAnsi="Aptos"/>
          <w:lang w:val="en-SG"/>
        </w:rPr>
      </w:pPr>
    </w:p>
    <w:p w:rsidRPr="00682E50" w:rsidR="00682E50" w:rsidP="00682E50" w:rsidRDefault="00682E50" w14:paraId="21C95FDC" w14:textId="510E37A7">
      <w:pPr>
        <w:pStyle w:val="Heading1"/>
        <w:rPr>
          <w:rFonts w:ascii="Aptos" w:hAnsi="Aptos"/>
          <w:color w:val="D9D9D9" w:themeColor="background1" w:themeShade="D9"/>
          <w:sz w:val="22"/>
          <w:szCs w:val="22"/>
          <w:lang w:val="en-SG"/>
        </w:rPr>
      </w:pPr>
      <w:bookmarkStart w:name="_29:_Demand_reduction" w:id="26"/>
      <w:bookmarkStart w:name="_Demand_reduction_to" w:id="27"/>
      <w:bookmarkStart w:name="_Toc242563992" w:id="28"/>
      <w:bookmarkEnd w:id="26"/>
      <w:r>
        <w:rPr>
          <w:rFonts w:ascii="Aptos" w:hAnsi="Aptos"/>
          <w:sz w:val="22"/>
          <w:szCs w:val="22"/>
        </w:rPr>
        <w:t xml:space="preserve">29 : </w:t>
      </w:r>
      <w:hyperlink w:history="1" r:id="rId30">
        <w:r w:rsidRPr="00682E50">
          <w:rPr>
            <w:rStyle w:val="Hyperlink"/>
            <w:rFonts w:ascii="Aptos" w:hAnsi="Aptos"/>
            <w:sz w:val="22"/>
            <w:szCs w:val="22"/>
            <w:lang w:val="en-SG"/>
          </w:rPr>
          <w:t xml:space="preserve">Réduction de la demande pour lutter contre le commerce illicite (Décision 20.39)</w:t>
        </w:r>
        <w:bookmarkEnd w:id="27"/>
        <w:bookmarkEnd w:id="28"/>
      </w:hyperlink>
    </w:p>
    <w:p w:rsidR="00682E50" w:rsidP="00682E50" w:rsidRDefault="00682E50" w14:paraId="4AAAFEE8" w14:textId="77777777">
      <w:pPr>
        <w:pStyle w:val="SC81Normal"/>
        <w:spacing w:after="0"/>
      </w:pPr>
    </w:p>
    <w:p w:rsidR="00682E50" w:rsidP="00682E50" w:rsidRDefault="00682E50" w14:paraId="456F3BBC" w14:textId="5EBE6EBC">
      <w:pPr>
        <w:pStyle w:val="SC81Normal"/>
        <w:spacing w:after="0"/>
      </w:pPr>
      <w:r w:rsidRPr="00682E50">
        <w:t xml:space="preserve">La WCS soutient les recommandations présentées dans ce document concernant la réduction de la demande. Il est décevant de constater le faible niveau de réponse à la notification sur ce sujet et, en particulier, le nombre limité de réponses émanant des Parties identifiées comme disposant de marchés importants pour les produits issus d’espèces sauvages illégales. Nous reconnaissons la nécessité d’ajouter des études de cas supplémentaires aux </w:t>
      </w:r>
      <w:r w:rsidRPr="00682E50">
        <w:rPr>
          <w:i/>
          <w:iCs/>
        </w:rPr>
        <w:t xml:space="preserve">orientations de la CITES sur les stratégies de réduction de la demande visant à lutter contre le commerce illégal d’espèces inscrites à la CITES </w:t>
      </w:r>
      <w:r w:rsidRPr="00682E50">
        <w:t xml:space="preserve">et soulignons à nouveau qu’il ne s’agit pas de la seule orientation ou du seul outil disponible pour influencer le comportement des consommateurs.</w:t>
      </w:r>
    </w:p>
    <w:p w:rsidRPr="00682E50" w:rsidR="00682E50" w:rsidP="00682E50" w:rsidRDefault="00682E50" w14:paraId="347D5D00" w14:textId="77777777">
      <w:pPr>
        <w:pStyle w:val="SC81Normal"/>
        <w:spacing w:after="0"/>
      </w:pPr>
    </w:p>
    <w:p w:rsidR="00682E50" w:rsidP="00682E50" w:rsidRDefault="00682E50" w14:paraId="575379B5" w14:textId="77777777">
      <w:pPr>
        <w:pStyle w:val="SC81Normal"/>
        <w:spacing w:after="0"/>
      </w:pPr>
      <w:r w:rsidRPr="00682E50">
        <w:t xml:space="preserve">Les approches de changement de comportement fondées sur des données probantes, en dehors du document d’orientation, sont souvent négligées ou sous-représentées dans les documents de la CITES. À ce titre, nous soutenons la suggestion visant à ce que le Secrétariat crée une page sur le site web de la CITES consacrée aux approches de changement de comportement, offrant ainsi une plateforme pour partager d’autres approches et outils disponibles que les Parties peuvent utiliser et utilisent effectivement pour influencer le comportement des consommateurs. </w:t>
      </w:r>
    </w:p>
    <w:p w:rsidRPr="00682E50" w:rsidR="00682E50" w:rsidP="00682E50" w:rsidRDefault="00682E50" w14:paraId="6F84A94E" w14:textId="77777777">
      <w:pPr>
        <w:pStyle w:val="SC81Normal"/>
        <w:spacing w:after="0"/>
      </w:pPr>
    </w:p>
    <w:p w:rsidRPr="00682E50" w:rsidR="00682E50" w:rsidP="00682E50" w:rsidRDefault="00682E50" w14:paraId="3870E980" w14:textId="77777777">
      <w:pPr>
        <w:pStyle w:val="SC81Normal"/>
        <w:spacing w:after="0"/>
        <w:rPr>
          <w:color w:val="D9D9D9" w:themeColor="background1" w:themeShade="D9"/>
        </w:rPr>
      </w:pPr>
      <w:r w:rsidRPr="00682E50">
        <w:t xml:space="preserve">La WCS est membre de l’Alliance pour la réduction de la demande du projet GUARD de l’UE et travaille en étroite collaboration avec les Parties et d’autres partenaires dans le cadre de ce projet, y compris les membres de l’ICCWC, afin de mettre en œuvre des initiatives de changement de comportement fondées sur des données probantes ; elle se fera un plaisir de partager les enseignements tirés de ce travail dès qu’ils seront disponibles. </w:t>
      </w:r>
    </w:p>
    <w:p w:rsidR="00682E50" w:rsidP="00682E50" w:rsidRDefault="00682E50" w14:paraId="5EBA97AF" w14:textId="77777777">
      <w:pPr>
        <w:spacing w:line="240" w:lineRule="auto"/>
        <w:rPr>
          <w:rFonts w:ascii="Aptos" w:hAnsi="Aptos" w:eastAsia="Aptos" w:cs="Aptos"/>
        </w:rPr>
      </w:pPr>
    </w:p>
    <w:p w:rsidRPr="00682E50" w:rsidR="00682E50" w:rsidP="00682E50" w:rsidRDefault="00682E50" w14:paraId="17BCEED3" w14:textId="77777777">
      <w:pPr>
        <w:spacing w:line="240" w:lineRule="auto"/>
        <w:rPr>
          <w:rFonts w:ascii="Aptos" w:hAnsi="Aptos" w:eastAsia="Aptos" w:cs="Aptos"/>
        </w:rPr>
      </w:pPr>
    </w:p>
    <w:p w:rsidRPr="00682E50" w:rsidR="00682E50" w:rsidP="00682E50" w:rsidRDefault="00682E50" w14:paraId="3759F9A7" w14:textId="248089C9">
      <w:pPr>
        <w:pStyle w:val="Heading1"/>
        <w:rPr>
          <w:rFonts w:ascii="Aptos" w:hAnsi="Aptos"/>
          <w:sz w:val="22"/>
          <w:szCs w:val="22"/>
        </w:rPr>
      </w:pPr>
      <w:bookmarkStart w:name="_30:_National_laws" w:id="29"/>
      <w:bookmarkStart w:name="_National_laws_for" w:id="30"/>
      <w:bookmarkStart w:name="_Toc242563993" w:id="31"/>
      <w:bookmarkEnd w:id="29"/>
      <w:r>
        <w:rPr>
          <w:rFonts w:ascii="Aptos" w:hAnsi="Aptos"/>
          <w:sz w:val="22"/>
          <w:szCs w:val="22"/>
        </w:rPr>
        <w:t xml:space="preserve">30 : </w:t>
      </w:r>
      <w:hyperlink r:id="rId31">
        <w:r w:rsidRPr="00682E50">
          <w:rPr>
            <w:rStyle w:val="Hyperlink"/>
            <w:rFonts w:ascii="Aptos" w:hAnsi="Aptos"/>
            <w:sz w:val="22"/>
            <w:szCs w:val="22"/>
          </w:rPr>
          <w:t xml:space="preserve">Législations nationales relatives à la mise en œuvre de la Convention (décisions 20.42 à 20.44)</w:t>
        </w:r>
        <w:bookmarkEnd w:id="30"/>
        <w:bookmarkEnd w:id="31"/>
      </w:hyperlink>
      <w:r w:rsidRPr="00682E50">
        <w:rPr>
          <w:rFonts w:ascii="Aptos" w:hAnsi="Aptos"/>
          <w:sz w:val="22"/>
          <w:szCs w:val="22"/>
        </w:rPr>
        <w:t xml:space="preserve"> </w:t>
      </w:r>
    </w:p>
    <w:p w:rsidR="00682E50" w:rsidP="00682E50" w:rsidRDefault="00682E50" w14:paraId="7DD74744" w14:textId="77777777">
      <w:pPr>
        <w:spacing w:line="240" w:lineRule="auto"/>
        <w:rPr>
          <w:rFonts w:ascii="Aptos" w:hAnsi="Aptos" w:eastAsia="Aptos" w:cs="Aptos"/>
          <w:lang w:val="en-US"/>
        </w:rPr>
      </w:pPr>
    </w:p>
    <w:p w:rsidRPr="00682E50" w:rsidR="00682E50" w:rsidP="00682E50" w:rsidRDefault="00682E50" w14:paraId="11CB56C9" w14:textId="4865A0D1">
      <w:pPr>
        <w:spacing w:line="240" w:lineRule="auto"/>
        <w:rPr>
          <w:rFonts w:ascii="Aptos" w:hAnsi="Aptos"/>
        </w:rPr>
      </w:pPr>
      <w:r w:rsidRPr="00682E50">
        <w:rPr>
          <w:rFonts w:ascii="Aptos" w:hAnsi="Aptos" w:eastAsia="Aptos" w:cs="Aptos"/>
          <w:lang w:val="en-US"/>
        </w:rPr>
        <w:t xml:space="preserve">La WCS travaille en étroite collaboration avec les Parties à la CITES afin d’apporter un soutien technique lors de la mise à jour des législations ou réglementations nationales visant à mettre en œuvre la CITES. Lorsque le Secrétariat et le Comité de conservation (SC) ont besoin d’informations supplémentaires ou de mises à jour, nous nous sommes efforcés de réitérer cette demande et d’apporter notre soutien dans la mesure du possible.  </w:t>
      </w:r>
    </w:p>
    <w:p w:rsidR="00682E50" w:rsidP="00682E50" w:rsidRDefault="00682E50" w14:paraId="40CD0BB3" w14:textId="77777777">
      <w:pPr>
        <w:spacing w:line="240" w:lineRule="auto"/>
        <w:rPr>
          <w:rFonts w:ascii="Aptos" w:hAnsi="Aptos" w:eastAsia="Aptos" w:cs="Aptos"/>
        </w:rPr>
      </w:pPr>
    </w:p>
    <w:p w:rsidRPr="00682E50" w:rsidR="00682E50" w:rsidP="00682E50" w:rsidRDefault="00682E50" w14:paraId="175FA51F" w14:textId="77777777">
      <w:pPr>
        <w:spacing w:line="240" w:lineRule="auto"/>
        <w:rPr>
          <w:rFonts w:ascii="Aptos" w:hAnsi="Aptos" w:eastAsia="Aptos" w:cs="Aptos"/>
        </w:rPr>
      </w:pPr>
    </w:p>
    <w:p w:rsidR="00682E50" w:rsidP="00682E50" w:rsidRDefault="00682E50" w14:paraId="1546B217" w14:textId="0EC33C82">
      <w:pPr>
        <w:pStyle w:val="Heading1"/>
        <w:rPr>
          <w:rFonts w:ascii="Aptos" w:hAnsi="Aptos"/>
          <w:sz w:val="22"/>
          <w:szCs w:val="22"/>
        </w:rPr>
      </w:pPr>
      <w:bookmarkStart w:name="_32:_Compliance_matters" w:id="32"/>
      <w:bookmarkStart w:name="_Compliance_matters_" w:id="33"/>
      <w:bookmarkStart w:name="_Toc242563994" w:id="34"/>
      <w:bookmarkEnd w:id="32"/>
      <w:r>
        <w:rPr>
          <w:rFonts w:ascii="Aptos" w:hAnsi="Aptos"/>
          <w:sz w:val="22"/>
          <w:szCs w:val="22"/>
        </w:rPr>
        <w:t xml:space="preserve">32 : </w:t>
      </w:r>
      <w:r w:rsidRPr="00682E50">
        <w:rPr>
          <w:rFonts w:ascii="Aptos" w:hAnsi="Aptos"/>
          <w:sz w:val="22"/>
          <w:szCs w:val="22"/>
        </w:rPr>
        <w:t xml:space="preserve">Questions de conformité</w:t>
      </w:r>
      <w:bookmarkEnd w:id="33"/>
      <w:bookmarkEnd w:id="34"/>
      <w:r w:rsidRPr="00682E50">
        <w:rPr>
          <w:rFonts w:ascii="Aptos" w:hAnsi="Aptos"/>
          <w:sz w:val="22"/>
          <w:szCs w:val="22"/>
        </w:rPr>
        <w:t xml:space="preserve"> </w:t>
      </w:r>
    </w:p>
    <w:p w:rsidRPr="00682E50" w:rsidR="00682E50" w:rsidP="00682E50" w:rsidRDefault="00682E50" w14:paraId="29628B93" w14:textId="77777777"/>
    <w:p w:rsidRPr="00682E50" w:rsidR="00682E50" w:rsidP="00682E50" w:rsidRDefault="00682E50" w14:paraId="542ACA96" w14:textId="2A6580C9">
      <w:pPr>
        <w:pStyle w:val="Heading1"/>
        <w:rPr>
          <w:rFonts w:ascii="Aptos" w:hAnsi="Aptos"/>
          <w:sz w:val="22"/>
          <w:szCs w:val="22"/>
        </w:rPr>
      </w:pPr>
      <w:bookmarkStart w:name="_32.1:_Implementation_of" w:id="35"/>
      <w:bookmarkStart w:name="_Toc242563995" w:id="36"/>
      <w:bookmarkEnd w:id="35"/>
      <w:r>
        <w:rPr>
          <w:rFonts w:ascii="Aptos" w:hAnsi="Aptos"/>
          <w:sz w:val="22"/>
          <w:szCs w:val="22"/>
        </w:rPr>
        <w:t xml:space="preserve">32.1 :</w:t>
      </w:r>
      <w:hyperlink r:id="rId32">
        <w:bookmarkStart w:name="___1._Implementation" w:id="37"/>
        <w:r w:rsidRPr="00682E50">
          <w:rPr>
            <w:rStyle w:val="Hyperlink"/>
            <w:rFonts w:ascii="Aptos" w:hAnsi="Aptos"/>
            <w:sz w:val="22"/>
            <w:szCs w:val="22"/>
          </w:rPr>
          <w:t xml:space="preserve"> Mise en œuvre de l’article XIII et de la résolution Conf. 14.3 (Rev. CoP19) relative aux procédures de conformité de la CITES [résolution Conf. 11.3 (Rev. CoP20), paragraphe 23 c) – e)]</w:t>
        </w:r>
        <w:bookmarkEnd w:id="36"/>
        <w:bookmarkEnd w:id="37"/>
      </w:hyperlink>
      <w:r w:rsidRPr="00682E50">
        <w:rPr>
          <w:rFonts w:ascii="Aptos" w:hAnsi="Aptos"/>
          <w:sz w:val="22"/>
          <w:szCs w:val="22"/>
        </w:rPr>
        <w:t xml:space="preserve"> </w:t>
      </w:r>
    </w:p>
    <w:p w:rsidR="00682E50" w:rsidP="00682E50" w:rsidRDefault="00682E50" w14:paraId="1989EC54" w14:textId="77777777">
      <w:pPr>
        <w:spacing w:line="240" w:lineRule="auto"/>
        <w:rPr>
          <w:rFonts w:ascii="Aptos" w:hAnsi="Aptos" w:eastAsia="Aptos" w:cs="Aptos"/>
          <w:lang w:val="en-US"/>
        </w:rPr>
      </w:pPr>
    </w:p>
    <w:p w:rsidRPr="00682E50" w:rsidR="00682E50" w:rsidP="00682E50" w:rsidRDefault="00682E50" w14:paraId="08AAB91B" w14:textId="160DA3FB">
      <w:pPr>
        <w:spacing w:line="240" w:lineRule="auto"/>
        <w:rPr>
          <w:rFonts w:ascii="Aptos" w:hAnsi="Aptos"/>
        </w:rPr>
      </w:pPr>
      <w:r w:rsidRPr="5403C073">
        <w:rPr>
          <w:rFonts w:ascii="Aptos" w:hAnsi="Aptos" w:eastAsia="Aptos" w:cs="Aptos"/>
          <w:lang w:val="en-US"/>
        </w:rPr>
        <w:t xml:space="preserve">Nous saluons ce document et la discussion détaillée qu’il contient. Nous apprécions l’ouverture dont ont fait preuve les autorités des Émirats arabes unis à l’égard de la visite et des contributions du Secrétariat, ainsi que tous les progrès significatifs</w:t>
      </w:r>
      <w:r w:rsidRPr="5403C073">
        <w:rPr>
          <w:rFonts w:ascii="Aptos" w:hAnsi="Aptos" w:eastAsia="Aptos" w:cs="Aptos"/>
          <w:lang w:val="en-US"/>
        </w:rPr>
        <w:lastRenderedPageBreak/>
      </w:r>
      <w:r w:rsidRPr="5403C073">
        <w:rPr>
          <w:rFonts w:ascii="Aptos" w:hAnsi="Aptos" w:eastAsia="Aptos" w:cs="Aptos"/>
          <w:lang w:val="en-US"/>
        </w:rPr>
        <w:t xml:space="preserve"> qu’elles ont accomplis. Nous nous réjouissons de discuter de ces questions avec les membres du Comité permanent et les autres Parties lors de la 81e session du Comité permanent (SC81).</w:t>
      </w:r>
    </w:p>
    <w:p w:rsidRPr="00682E50" w:rsidR="00682E50" w:rsidP="00682E50" w:rsidRDefault="00682E50" w14:paraId="188C07C5" w14:textId="77777777">
      <w:pPr>
        <w:spacing w:line="240" w:lineRule="auto"/>
        <w:rPr>
          <w:rFonts w:ascii="Aptos" w:hAnsi="Aptos" w:eastAsia="Aptos" w:cs="Aptos"/>
        </w:rPr>
      </w:pPr>
    </w:p>
    <w:p w:rsidRPr="00682E50" w:rsidR="00682E50" w:rsidP="00682E50" w:rsidRDefault="00682E50" w14:paraId="4F12C491" w14:textId="0D067C7F">
      <w:pPr>
        <w:pStyle w:val="Heading1"/>
        <w:rPr>
          <w:rFonts w:ascii="Aptos" w:hAnsi="Aptos"/>
          <w:sz w:val="22"/>
          <w:szCs w:val="22"/>
        </w:rPr>
      </w:pPr>
      <w:bookmarkStart w:name="_32.2:_Scope_and" w:id="38"/>
      <w:bookmarkStart w:name="_Toc242563996" w:id="39"/>
      <w:bookmarkEnd w:id="38"/>
      <w:r>
        <w:rPr>
          <w:rFonts w:ascii="Aptos" w:hAnsi="Aptos"/>
          <w:sz w:val="22"/>
          <w:szCs w:val="22"/>
        </w:rPr>
        <w:t xml:space="preserve">32.2 :</w:t>
      </w:r>
      <w:hyperlink r:id="rId33">
        <w:bookmarkStart w:name="___2._Scope" w:id="40"/>
        <w:r w:rsidRPr="00682E50">
          <w:rPr>
            <w:rStyle w:val="Hyperlink"/>
            <w:rFonts w:ascii="Aptos" w:hAnsi="Aptos"/>
            <w:sz w:val="22"/>
            <w:szCs w:val="22"/>
          </w:rPr>
          <w:t xml:space="preserve"> Portée et application des recommandations visant à suspendre le commerce (Décision 20.46)</w:t>
        </w:r>
        <w:bookmarkEnd w:id="39"/>
        <w:bookmarkEnd w:id="40"/>
      </w:hyperlink>
      <w:r w:rsidRPr="00682E50">
        <w:rPr>
          <w:rFonts w:ascii="Aptos" w:hAnsi="Aptos"/>
          <w:sz w:val="22"/>
          <w:szCs w:val="22"/>
        </w:rPr>
        <w:t xml:space="preserve"> </w:t>
      </w:r>
    </w:p>
    <w:p w:rsidR="00682E50" w:rsidP="00682E50" w:rsidRDefault="00682E50" w14:paraId="11477E91" w14:textId="77777777">
      <w:pPr>
        <w:pStyle w:val="SC81Normal"/>
        <w:spacing w:after="0"/>
      </w:pPr>
    </w:p>
    <w:p w:rsidRPr="00682E50" w:rsidR="00682E50" w:rsidP="00682E50" w:rsidRDefault="00682E50" w14:paraId="1E0BCAC4" w14:textId="130A6814">
      <w:pPr>
        <w:pStyle w:val="SC81Normal"/>
        <w:spacing w:after="0"/>
      </w:pPr>
      <w:r w:rsidRPr="00682E50">
        <w:t xml:space="preserve">La WCS soutient l’idée que le Comité permanent utilise une terminologie standard lorsqu’il formule des recommandations visant à suspendre le commerce et qu’il soit très précis dans leur formulation. La formulation standard fournie en annexe du document 32.2 semble constituer une bonne base sur laquelle s’appuyer (à partir au moins de la 82e session du Comité permanent si la discussion s’avère complexe lors de la 81e session). </w:t>
      </w:r>
    </w:p>
    <w:p w:rsidR="00682E50" w:rsidP="00682E50" w:rsidRDefault="00682E50" w14:paraId="6E5B4A7A" w14:textId="77777777">
      <w:pPr>
        <w:pStyle w:val="SC81Normal"/>
        <w:spacing w:after="0"/>
      </w:pPr>
    </w:p>
    <w:p w:rsidR="00682E50" w:rsidP="00682E50" w:rsidRDefault="00682E50" w14:paraId="24805CB9" w14:textId="49A3A3AB">
      <w:pPr>
        <w:pStyle w:val="SC81Normal"/>
        <w:spacing w:after="0"/>
      </w:pPr>
      <w:r>
        <w:t xml:space="preserve">Il est important de noter qu’il convient d’éviter les périodes de transition générales et que les périodes de transition pour des taxons spécifiques doivent être examinées au cas par cas, en fonction des espèces inscrites à la CITES et de la procédure de mise en conformité envisagée. </w:t>
      </w:r>
    </w:p>
    <w:p w:rsidR="00682E50" w:rsidP="00682E50" w:rsidRDefault="00682E50" w14:paraId="4BB1DCD1" w14:textId="07CBE3C7">
      <w:pPr>
        <w:pStyle w:val="SC81Normal"/>
        <w:spacing w:after="0"/>
      </w:pPr>
    </w:p>
    <w:p w:rsidR="00682E50" w:rsidP="00682E50" w:rsidRDefault="00682E50" w14:paraId="456E7DBF" w14:textId="4F338C78">
      <w:pPr>
        <w:pStyle w:val="SC81Normal"/>
        <w:spacing w:after="0"/>
      </w:pPr>
      <w:r>
        <w:t xml:space="preserve">Nous craignons également que certaines des « dérogations » proposées aux recommandations de suspension du commerce ne créent des failles, telles que les dérogations pour les « cas urgents » impliquant des animaux vivants ; c’est pourquoi toute recommandation doit être claire et précise. </w:t>
      </w:r>
    </w:p>
    <w:p w:rsidRPr="00682E50" w:rsidR="00682E50" w:rsidP="00682E50" w:rsidRDefault="00682E50" w14:paraId="3D8010B5" w14:textId="77777777">
      <w:pPr>
        <w:pStyle w:val="SC81Normal"/>
        <w:spacing w:after="0"/>
        <w:rPr>
          <w:b/>
          <w:bCs/>
        </w:rPr>
      </w:pPr>
    </w:p>
    <w:p w:rsidRPr="00682E50" w:rsidR="00682E50" w:rsidP="00682E50" w:rsidRDefault="00682E50" w14:paraId="3ADAD93C" w14:textId="284FCD91">
      <w:pPr>
        <w:pStyle w:val="Heading1"/>
        <w:rPr>
          <w:rFonts w:ascii="Aptos" w:hAnsi="Aptos"/>
          <w:sz w:val="22"/>
          <w:szCs w:val="22"/>
        </w:rPr>
      </w:pPr>
      <w:bookmarkStart w:name="_32.3:_Addressing_compliance" w:id="41"/>
      <w:bookmarkStart w:name="_Toc242563997" w:id="42"/>
      <w:bookmarkEnd w:id="41"/>
      <w:r>
        <w:rPr>
          <w:rFonts w:ascii="Aptos" w:hAnsi="Aptos"/>
          <w:sz w:val="22"/>
          <w:szCs w:val="22"/>
        </w:rPr>
        <w:t xml:space="preserve">32.3 :</w:t>
      </w:r>
      <w:hyperlink r:id="rId34">
        <w:bookmarkStart w:name="___3._Addressing" w:id="43"/>
        <w:r w:rsidRPr="00682E50">
          <w:rPr>
            <w:rStyle w:val="Hyperlink"/>
            <w:rFonts w:ascii="Aptos" w:hAnsi="Aptos"/>
            <w:sz w:val="22"/>
            <w:szCs w:val="22"/>
          </w:rPr>
          <w:t xml:space="preserve"> Traitement des questions de conformité par le Comité permanent (Décision 20.47</w:t>
        </w:r>
      </w:hyperlink>
      <w:r w:rsidRPr="00682E50">
        <w:rPr>
          <w:rFonts w:ascii="Aptos" w:hAnsi="Aptos"/>
          <w:sz w:val="22"/>
          <w:szCs w:val="22"/>
        </w:rPr>
        <w:t xml:space="preserve">)</w:t>
      </w:r>
      <w:bookmarkEnd w:id="42"/>
      <w:bookmarkEnd w:id="43"/>
    </w:p>
    <w:p w:rsidRPr="00682E50" w:rsidR="00682E50" w:rsidP="00682E50" w:rsidRDefault="00682E50" w14:paraId="78CCAC42" w14:textId="750DCA44">
      <w:pPr>
        <w:pStyle w:val="Heading"/>
        <w:rPr>
          <w:b w:val="0"/>
          <w:bCs w:val="0"/>
          <w:i/>
          <w:iCs/>
          <w:highlight w:val="yellow"/>
        </w:rPr>
      </w:pPr>
    </w:p>
    <w:p w:rsidRPr="00682E50" w:rsidR="00682E50" w:rsidP="00682E50" w:rsidRDefault="5328F5DF" w14:paraId="2A1126F3" w14:textId="068A14BA">
      <w:pPr>
        <w:spacing w:line="240" w:lineRule="auto"/>
      </w:pPr>
      <w:r w:rsidRPr="164385D1">
        <w:rPr>
          <w:rFonts w:ascii="Aptos" w:hAnsi="Aptos" w:eastAsia="Aptos" w:cs="Aptos"/>
          <w:lang w:val="en-SG"/>
        </w:rPr>
        <w:t xml:space="preserve">La WCS se félicite de cette discussion et de l’attention qu’elle accorde au renforcement du processus de conformité, qui est essentiel à l’efficacité de la Convention et doit rester au cœur des travaux du Comité permanent. Le document met à juste titre l’accent sur les défis exposés aux paragraphes 11 à 16, notamment la charge de travail croissante liée aux questions de conformité, le temps limité disponible pour examiner les cas individuels, et la nécessité d’une plus grande transparence et cohérence. Les options qu’il présente visent à relever ces défis.  </w:t>
      </w:r>
    </w:p>
    <w:p w:rsidRPr="00682E50" w:rsidR="00682E50" w:rsidP="164385D1" w:rsidRDefault="00682E50" w14:paraId="3CD45F49" w14:textId="2559C1CA">
      <w:pPr>
        <w:spacing w:line="240" w:lineRule="auto"/>
        <w:rPr>
          <w:rFonts w:ascii="Aptos" w:hAnsi="Aptos" w:eastAsia="Aptos" w:cs="Aptos"/>
          <w:lang w:val="en-SG"/>
        </w:rPr>
      </w:pPr>
    </w:p>
    <w:p w:rsidRPr="00682E50" w:rsidR="00682E50" w:rsidP="164385D1" w:rsidRDefault="5328F5DF" w14:paraId="3EECEF29" w14:textId="5AC29D8C">
      <w:pPr>
        <w:spacing w:line="240" w:lineRule="auto"/>
      </w:pPr>
      <w:r w:rsidRPr="164385D1">
        <w:rPr>
          <w:rFonts w:ascii="Aptos" w:hAnsi="Aptos" w:eastAsia="Aptos" w:cs="Aptos"/>
          <w:lang w:val="en-SG"/>
        </w:rPr>
        <w:t xml:space="preserve">La WCS estime toutefois que l’énoncé du problème omet une préoccupation importante : le risque que le processus de conformité récompense le respect des formalités plutôt que les résultats concrets. Une Partie peut sembler se conformer à la Convention (en soumettant ses rapports, en adoptant ou en s’engageant à adopter une législation, et en organisant des ateliers et des formations) alors que l’application de la loi sur le terrain reste faible et que le commerce illégal ou non durable se poursuit. La question de la manière dont les dossiers sont classés et les mesures levées est étroitement liée à cela. À l’heure actuelle, un dossier peut être classé et les mesures levées sur la seule base de progrès procéduraux, avant même qu’il n’y ait de preuves crédibles d’une évolution des résultats. WCS souhaiterait que ce risque soit explicitement reconnu, car il a une incidence directe sur le choix des options à privilégier. Nos commentaires ci-dessous s’inspirent de cette préoccupation. </w:t>
      </w:r>
    </w:p>
    <w:p w:rsidRPr="00682E50" w:rsidR="00682E50" w:rsidP="164385D1" w:rsidRDefault="5328F5DF" w14:paraId="417EDA63" w14:textId="2CCE746B">
      <w:pPr>
        <w:spacing w:line="240" w:lineRule="auto"/>
        <w:rPr>
          <w:rFonts w:ascii="Aptos" w:hAnsi="Aptos" w:eastAsia="Aptos" w:cs="Aptos"/>
          <w:lang w:val="en-SG"/>
        </w:rPr>
      </w:pPr>
      <w:r w:rsidRPr="164385D1">
        <w:rPr>
          <w:rFonts w:ascii="Aptos" w:hAnsi="Aptos" w:eastAsia="Aptos" w:cs="Aptos"/>
          <w:lang w:val="en-SG"/>
        </w:rPr>
        <w:t xml:space="preserve"> </w:t>
      </w:r>
    </w:p>
    <w:p w:rsidRPr="00682E50" w:rsidR="00682E50" w:rsidP="164385D1" w:rsidRDefault="5328F5DF" w14:paraId="7B0DB04C" w14:textId="41209014">
      <w:pPr>
        <w:spacing w:line="240" w:lineRule="auto"/>
        <w:rPr>
          <w:rFonts w:ascii="Aptos" w:hAnsi="Aptos" w:eastAsia="Aptos" w:cs="Aptos"/>
          <w:b/>
          <w:bCs/>
          <w:lang w:val="en-SG"/>
        </w:rPr>
      </w:pPr>
      <w:r w:rsidRPr="164385D1">
        <w:rPr>
          <w:rFonts w:ascii="Aptos" w:hAnsi="Aptos" w:eastAsia="Aptos" w:cs="Aptos"/>
          <w:b/>
          <w:bCs/>
          <w:lang w:val="en-SG"/>
        </w:rPr>
        <w:t xml:space="preserve">Options institutionnelles  </w:t>
      </w:r>
    </w:p>
    <w:p w:rsidRPr="00682E50" w:rsidR="00682E50" w:rsidP="164385D1" w:rsidRDefault="00682E50" w14:paraId="4DA208E9" w14:textId="52FA900A">
      <w:pPr>
        <w:spacing w:line="240" w:lineRule="auto"/>
        <w:rPr>
          <w:rFonts w:ascii="Aptos" w:hAnsi="Aptos" w:eastAsia="Aptos" w:cs="Aptos"/>
          <w:lang w:val="en-SG"/>
        </w:rPr>
      </w:pPr>
    </w:p>
    <w:p w:rsidRPr="00682E50" w:rsidR="00682E50" w:rsidP="164385D1" w:rsidRDefault="5328F5DF" w14:paraId="61DB9609" w14:textId="10938AFF">
      <w:pPr>
        <w:spacing w:line="240" w:lineRule="auto"/>
      </w:pPr>
      <w:r w:rsidRPr="164385D1">
        <w:rPr>
          <w:rFonts w:ascii="Aptos" w:hAnsi="Aptos" w:eastAsia="Aptos" w:cs="Aptos"/>
          <w:lang w:val="en-SG"/>
        </w:rPr>
        <w:t xml:space="preserve">La WCS encourage les Parties à mettre en place un espace dédié, disposant de suffisamment de temps, pour l’examen des questions de conformité. Comme le précise le paragraphe 13, les dossiers complexes sont actuellement examinés dans des délais très serrés. Nous soutenons tout particulièrement la création d’un sous-comité chargé de la conformité au sein du Comité de sauvegarde (option B) ou, à défaut, d’un groupe de travail intersessions sur la conformité (option C). Ces deux options permettraient un examen plus approfondi et plus cohérent des cas, tout en laissant au Comité de sauvegarde le pouvoir de décision final. Il est toutefois essentiel que des observateurs soient inclus dans l’organe qui sera mis en place.  </w:t>
      </w:r>
    </w:p>
    <w:p w:rsidRPr="00682E50" w:rsidR="00682E50" w:rsidP="164385D1" w:rsidRDefault="00682E50" w14:paraId="31093D64" w14:textId="2E194CFD">
      <w:pPr>
        <w:spacing w:line="240" w:lineRule="auto"/>
        <w:rPr>
          <w:rFonts w:ascii="Aptos" w:hAnsi="Aptos" w:eastAsia="Aptos" w:cs="Aptos"/>
          <w:lang w:val="en-SG"/>
        </w:rPr>
      </w:pPr>
    </w:p>
    <w:p w:rsidRPr="00682E50" w:rsidR="00682E50" w:rsidP="164385D1" w:rsidRDefault="5328F5DF" w14:paraId="125F1EFA" w14:textId="0DA75E7F">
      <w:pPr>
        <w:spacing w:line="240" w:lineRule="auto"/>
        <w:rPr>
          <w:rFonts w:ascii="Aptos" w:hAnsi="Aptos" w:eastAsia="Aptos" w:cs="Aptos"/>
          <w:b/>
          <w:bCs/>
          <w:lang w:val="en-SG"/>
        </w:rPr>
      </w:pPr>
      <w:r w:rsidRPr="164385D1">
        <w:rPr>
          <w:rFonts w:ascii="Aptos" w:hAnsi="Aptos" w:eastAsia="Aptos" w:cs="Aptos"/>
          <w:b/>
          <w:bCs/>
          <w:lang w:val="en-SG"/>
        </w:rPr>
        <w:t xml:space="preserve">Options procédurales  </w:t>
      </w:r>
    </w:p>
    <w:p w:rsidRPr="00682E50" w:rsidR="00682E50" w:rsidP="164385D1" w:rsidRDefault="00682E50" w14:paraId="7AB999D9" w14:textId="03EEDC98">
      <w:pPr>
        <w:spacing w:line="240" w:lineRule="auto"/>
        <w:rPr>
          <w:rFonts w:ascii="Aptos" w:hAnsi="Aptos" w:eastAsia="Aptos" w:cs="Aptos"/>
          <w:lang w:val="en-SG"/>
        </w:rPr>
      </w:pPr>
    </w:p>
    <w:p w:rsidRPr="00682E50" w:rsidR="00682E50" w:rsidP="164385D1" w:rsidRDefault="5328F5DF" w14:paraId="51115E75" w14:textId="23F241AE">
      <w:pPr>
        <w:spacing w:line="240" w:lineRule="auto"/>
      </w:pPr>
      <w:r w:rsidRPr="164385D1">
        <w:rPr>
          <w:rFonts w:ascii="Aptos" w:hAnsi="Aptos" w:eastAsia="Aptos" w:cs="Aptos"/>
          <w:lang w:val="en-SG"/>
        </w:rPr>
        <w:t xml:space="preserve">La WCS soutient fermement le système de suivi des recommandations du Comité de suivi (Option E). Nous saluons tout particulièrement la proposition visant à distinguer les actions essentielles, celles qui sont nécessaires pour répondre à des préoccupations importantes en matière de conformité ou pour éviter une escalade, des mesures consultatives. Identifier clairement les mesures minimales essentielles attendues de chaque Partie contribuerait à recentrer le processus de conformité sur les résultats plutôt que sur les produits. À cette fin, les mesures essentielles devraient, dans la mesure du possible, inclure des critères de référence axés sur les résultats, tels que des améliorations démontrables en matière d’application de la réglementation, plutôt que de se limiter à la simple réalisation d’activités. La WCS soutient également un processus standardisé pour porter les questions de conformité à l’attention du Comité permanent (Option C), y compris le modèle de saisine et le cadre d’indicateurs mentionnés aux paragraphes 49 et 50.  </w:t>
      </w:r>
    </w:p>
    <w:p w:rsidRPr="00682E50" w:rsidR="00682E50" w:rsidP="164385D1" w:rsidRDefault="00682E50" w14:paraId="5F62BF93" w14:textId="0FAC3F2C">
      <w:pPr>
        <w:spacing w:line="240" w:lineRule="auto"/>
        <w:rPr>
          <w:rFonts w:ascii="Aptos" w:hAnsi="Aptos" w:eastAsia="Aptos" w:cs="Aptos"/>
          <w:lang w:val="en-SG"/>
        </w:rPr>
      </w:pPr>
    </w:p>
    <w:p w:rsidRPr="00682E50" w:rsidR="00682E50" w:rsidP="164385D1" w:rsidRDefault="5328F5DF" w14:paraId="5EF95B88" w14:textId="3F532A6C">
      <w:pPr>
        <w:spacing w:line="240" w:lineRule="auto"/>
        <w:rPr>
          <w:rFonts w:ascii="Aptos" w:hAnsi="Aptos" w:eastAsia="Aptos" w:cs="Aptos"/>
          <w:color w:val="B8CCE4" w:themeColor="accent1" w:themeTint="66"/>
          <w:lang w:val="en-SG"/>
        </w:rPr>
      </w:pPr>
      <w:r w:rsidRPr="164385D1">
        <w:rPr>
          <w:rFonts w:ascii="Aptos" w:hAnsi="Aptos" w:eastAsia="Aptos" w:cs="Aptos"/>
          <w:lang w:val="en-SG"/>
        </w:rPr>
        <w:t xml:space="preserve">Enfin, nous exhortons le Comité permanent à s’opposer à l’examen confidentiel des questions de conformité potentielles (Option A), car les séances à huis clos, sans observateurs ni documents, vont à l’encontre des objectifs de transparence énoncés dans le document lui-même. De plus, elles risquent de retarder l’examen des questions de conformité urgentes en ajoutant une étape préliminaire avant qu’une question puisse être officiellement examinée. La WCS met également en garde les Parties contre les notes explicatives du Comité permanent sur la justification des mesures (Option D), car la préparation de telles notes ne ferait qu’alourdir la charge de travail que le document cherche justement à alléger. La justification des mesures pourrait plutôt être consignée dans le modèle de saisine et le système de suivi. </w:t>
      </w:r>
    </w:p>
    <w:p w:rsidR="00682E50" w:rsidP="00682E50" w:rsidRDefault="00682E50" w14:paraId="075FE117" w14:textId="77777777">
      <w:pPr>
        <w:spacing w:line="240" w:lineRule="auto"/>
        <w:rPr>
          <w:rFonts w:ascii="Aptos" w:hAnsi="Aptos" w:eastAsia="Aptos" w:cs="Aptos"/>
          <w:lang w:val="en-US"/>
        </w:rPr>
      </w:pPr>
    </w:p>
    <w:p w:rsidR="00682E50" w:rsidP="00682E50" w:rsidRDefault="00682E50" w14:paraId="556142B7" w14:textId="77777777">
      <w:pPr>
        <w:spacing w:line="240" w:lineRule="auto"/>
        <w:rPr>
          <w:rFonts w:ascii="Aptos" w:hAnsi="Aptos" w:eastAsia="Aptos" w:cs="Aptos"/>
          <w:lang w:val="en-US"/>
        </w:rPr>
      </w:pPr>
    </w:p>
    <w:p w:rsidRPr="00682E50" w:rsidR="00682E50" w:rsidP="00682E50" w:rsidRDefault="00682E50" w14:paraId="0BAFF835" w14:textId="1B47C289">
      <w:pPr>
        <w:spacing w:line="240" w:lineRule="auto"/>
        <w:rPr>
          <w:rFonts w:ascii="Aptos" w:hAnsi="Aptos" w:eastAsia="Aptos" w:cs="Aptos"/>
          <w:b/>
          <w:bCs/>
          <w:lang w:val="en-US"/>
        </w:rPr>
      </w:pPr>
      <w:r w:rsidRPr="00682E50">
        <w:rPr>
          <w:rFonts w:ascii="Aptos" w:hAnsi="Aptos" w:eastAsia="Aptos" w:cs="Aptos"/>
          <w:b/>
          <w:bCs/>
          <w:lang w:val="en-US"/>
        </w:rPr>
        <w:t xml:space="preserve">33 </w:t>
      </w:r>
      <w:r>
        <w:rPr>
          <w:rFonts w:ascii="Aptos" w:hAnsi="Aptos" w:eastAsia="Aptos" w:cs="Aptos"/>
          <w:b/>
          <w:bCs/>
          <w:lang w:val="en-US"/>
        </w:rPr>
        <w:t xml:space="preserve">: </w:t>
      </w:r>
      <w:r w:rsidRPr="00682E50">
        <w:rPr>
          <w:rFonts w:ascii="Aptos" w:hAnsi="Aptos" w:eastAsia="Aptos" w:cs="Aptos"/>
          <w:b/>
          <w:bCs/>
          <w:lang w:val="en-US"/>
        </w:rPr>
        <w:t xml:space="preserve">Application de l’article XIII</w:t>
      </w:r>
    </w:p>
    <w:p w:rsidRPr="00682E50" w:rsidR="00682E50" w:rsidP="00682E50" w:rsidRDefault="00682E50" w14:paraId="2219B9E8" w14:textId="77777777">
      <w:pPr>
        <w:spacing w:line="240" w:lineRule="auto"/>
        <w:rPr>
          <w:rFonts w:ascii="Aptos" w:hAnsi="Aptos" w:eastAsia="Aptos" w:cs="Aptos"/>
          <w:lang w:val="en-US"/>
        </w:rPr>
      </w:pPr>
    </w:p>
    <w:p w:rsidRPr="00682E50" w:rsidR="00682E50" w:rsidP="00682E50" w:rsidRDefault="00682E50" w14:paraId="1F395E7A" w14:textId="09A4163E">
      <w:pPr>
        <w:pStyle w:val="Heading1"/>
        <w:rPr>
          <w:rFonts w:ascii="Aptos" w:hAnsi="Aptos"/>
          <w:sz w:val="22"/>
          <w:szCs w:val="22"/>
        </w:rPr>
      </w:pPr>
      <w:bookmarkStart w:name="_33.2:_Application_of" w:id="44"/>
      <w:bookmarkStart w:name="_Toc242563998" w:id="45"/>
      <w:bookmarkStart w:name="_33.2._Application_of" w:id="46"/>
      <w:bookmarkEnd w:id="44"/>
      <w:r>
        <w:rPr>
          <w:rFonts w:ascii="Aptos" w:hAnsi="Aptos"/>
          <w:sz w:val="22"/>
          <w:szCs w:val="22"/>
        </w:rPr>
        <w:t xml:space="preserve">33.2 :</w:t>
      </w:r>
      <w:hyperlink w:history="1" r:id="rId35">
        <w:bookmarkStart w:name="___2._Application" w:id="47"/>
        <w:r w:rsidRPr="00682E50">
          <w:rPr>
            <w:rStyle w:val="Hyperlink"/>
            <w:rFonts w:ascii="Aptos" w:hAnsi="Aptos"/>
            <w:sz w:val="22"/>
            <w:szCs w:val="22"/>
          </w:rPr>
          <w:t xml:space="preserve"> Application de l’article XIII au Bangladesh</w:t>
        </w:r>
        <w:bookmarkEnd w:id="45"/>
        <w:bookmarkEnd w:id="47"/>
      </w:hyperlink>
      <w:bookmarkEnd w:id="46"/>
      <w:r w:rsidRPr="00682E50">
        <w:rPr>
          <w:rFonts w:ascii="Aptos" w:hAnsi="Aptos"/>
          <w:sz w:val="22"/>
          <w:szCs w:val="22"/>
        </w:rPr>
        <w:t xml:space="preserve"> </w:t>
      </w:r>
    </w:p>
    <w:p w:rsidR="00682E50" w:rsidP="00682E50" w:rsidRDefault="00682E50" w14:paraId="46DDE119" w14:textId="77777777">
      <w:pPr>
        <w:pStyle w:val="SC81Normal"/>
        <w:spacing w:after="0"/>
      </w:pPr>
    </w:p>
    <w:p w:rsidRPr="00682E50" w:rsidR="00682E50" w:rsidP="00682E50" w:rsidRDefault="00682E50" w14:paraId="76EA41A3" w14:textId="01FFA15B">
      <w:pPr>
        <w:pStyle w:val="SC81Normal"/>
        <w:spacing w:after="0"/>
      </w:pPr>
      <w:r w:rsidRPr="00682E50">
        <w:t xml:space="preserve">La WCS reconnaît les progrès significatifs réalisés par l’Autorité de gestion CITES du Bangladesh depuis la 79e session du Comité de conservation (SC79) et en réponse aux exigences de l’article XIII. Prenant note d’un certain nombre de mesures en suspens mentionnées dans le rapport, la WCS soutient les recommandations du Secrétariat, notamment le maintien de la suspension du commerce des oiseaux inscrits aux annexes de la CITES jusqu’à ce que de nouveaux progrès puissent être démontrés.</w:t>
      </w:r>
    </w:p>
    <w:p w:rsidR="00682E50" w:rsidP="00682E50" w:rsidRDefault="00682E50" w14:paraId="13E509D2" w14:textId="77777777">
      <w:pPr>
        <w:pStyle w:val="SC81Normal"/>
        <w:spacing w:after="0"/>
      </w:pPr>
      <w:r w:rsidRPr="00682E50">
        <w:t xml:space="preserve">La WCS se félicite de la nouvelle loi de 2026 sur la faune sauvage (conservation et sécurité), qui aligne les annexes de la loi sur celles de la CITES, met à jour les listes d’espèces, habilite la Garde des frontières du Bangladesh, la police du Bangladesh, les garde-côtes du Bangladesh et les douanes du Bangladesh à faire appliquer cette loi, et alourdit les sanctions. La WCS soutient en outre la fixation d’un délai précis pour les modifications en cours concernant un certain nombre de règlements, notamment le règlement relatif aux poissons et aux produits de la pêche (inspection et contrôle de la qualité) et la politique douanière en matière d’importation, ainsi que pour l’adoption des lignes directrices relatives au contrôle du commerce des espèces marines inscrites à la CITES et du protocole concernant les spécimens marins saisis. La WCS se félicite également de l’achèvement de quatre nouveaux plans d’action nationaux (NDF). La WCS reste déterminée à continuer de soutenir l’autorité de gestion CITES du Bangladesh dans le renforcement de ses capacités d’application de la loi, l’identification et la traçabilité des espèces, ainsi que dans la mise en œuvre des recommandations relatives au commerce des requins et des raies.</w:t>
      </w:r>
    </w:p>
    <w:p w:rsidRPr="00682E50" w:rsidR="00682E50" w:rsidP="164385D1" w:rsidRDefault="00682E50" w14:paraId="59F50BBE" w14:textId="40491632">
      <w:pPr>
        <w:spacing w:line="240" w:lineRule="auto"/>
      </w:pPr>
    </w:p>
    <w:p w:rsidRPr="00682E50" w:rsidR="00682E50" w:rsidP="00682E50" w:rsidRDefault="00682E50" w14:paraId="5EA87261" w14:textId="093DCF91">
      <w:pPr>
        <w:pStyle w:val="Heading1"/>
        <w:rPr>
          <w:rFonts w:ascii="Aptos" w:hAnsi="Aptos"/>
          <w:sz w:val="22"/>
          <w:szCs w:val="22"/>
        </w:rPr>
      </w:pPr>
      <w:bookmarkStart w:name="_33.5:_Application_of" w:id="48"/>
      <w:bookmarkStart w:name="___5._Application" w:id="49"/>
      <w:bookmarkStart w:name="_Toc242564000" w:id="50"/>
      <w:bookmarkEnd w:id="48"/>
      <w:r>
        <w:rPr>
          <w:rFonts w:ascii="Aptos" w:hAnsi="Aptos"/>
          <w:sz w:val="22"/>
          <w:szCs w:val="22"/>
        </w:rPr>
        <w:t xml:space="preserve">33.5 :</w:t>
      </w:r>
      <w:hyperlink w:history="1" r:id="rId36">
        <w:bookmarkStart w:name="_33.5._Application_of" w:id="51"/>
        <w:r w:rsidRPr="00682E50">
          <w:rPr>
            <w:rStyle w:val="Hyperlink"/>
            <w:rFonts w:ascii="Aptos" w:hAnsi="Aptos"/>
            <w:sz w:val="22"/>
            <w:szCs w:val="22"/>
            <w:u w:val="none"/>
          </w:rPr>
          <w:t xml:space="preserve"> </w:t>
        </w:r>
        <w:r w:rsidRPr="00682E50">
          <w:rPr>
            <w:rStyle w:val="Hyperlink"/>
            <w:rFonts w:ascii="Aptos" w:hAnsi="Aptos"/>
            <w:sz w:val="22"/>
            <w:szCs w:val="22"/>
          </w:rPr>
          <w:t xml:space="preserve">Application de l’article XIII en République démocratique du Congo</w:t>
        </w:r>
        <w:bookmarkEnd w:id="49"/>
        <w:bookmarkEnd w:id="50"/>
      </w:hyperlink>
      <w:bookmarkEnd w:id="51"/>
      <w:r w:rsidRPr="00682E50">
        <w:rPr>
          <w:rFonts w:ascii="Aptos" w:hAnsi="Aptos"/>
          <w:sz w:val="22"/>
          <w:szCs w:val="22"/>
        </w:rPr>
        <w:t xml:space="preserve"> </w:t>
      </w:r>
    </w:p>
    <w:p w:rsidR="00682E50" w:rsidP="00682E50" w:rsidRDefault="00682E50" w14:paraId="27D16316" w14:textId="77777777">
      <w:pPr>
        <w:spacing w:line="240" w:lineRule="auto"/>
        <w:rPr>
          <w:rFonts w:ascii="Aptos" w:hAnsi="Aptos" w:eastAsia="Aptos" w:cs="Aptos"/>
          <w:color w:val="B8CCE4" w:themeColor="accent1" w:themeTint="66"/>
        </w:rPr>
      </w:pPr>
    </w:p>
    <w:p w:rsidR="2FB50903" w:rsidP="164385D1" w:rsidRDefault="2FB50903" w14:paraId="2EA173E1" w14:textId="19F891F6">
      <w:pPr>
        <w:spacing w:line="240" w:lineRule="auto"/>
        <w:rPr>
          <w:rFonts w:ascii="Aptos" w:hAnsi="Aptos" w:eastAsia="Aptos" w:cs="Aptos"/>
          <w:color w:val="B8CCE4" w:themeColor="accent1" w:themeTint="66"/>
          <w:lang w:val="en-SG"/>
        </w:rPr>
      </w:pPr>
      <w:r w:rsidRPr="164385D1">
        <w:rPr>
          <w:rFonts w:ascii="Aptos" w:hAnsi="Aptos" w:eastAsia="Aptos" w:cs="Aptos"/>
          <w:color w:val="4F80BD"/>
          <w:lang w:val="en-SG"/>
        </w:rPr>
        <w:t xml:space="preserve">Nous nous réjouissons de pouvoir fournir des commentaires supplémentaires à l’approche de la 81e session du Comité de la conservation (SC81).</w:t>
      </w:r>
    </w:p>
    <w:p w:rsidRPr="00682E50" w:rsidR="00682E50" w:rsidP="00682E50" w:rsidRDefault="00682E50" w14:paraId="2854B63B" w14:textId="77777777">
      <w:pPr>
        <w:spacing w:line="240" w:lineRule="auto"/>
        <w:rPr>
          <w:rFonts w:ascii="Aptos" w:hAnsi="Aptos"/>
        </w:rPr>
      </w:pPr>
    </w:p>
    <w:p w:rsidRPr="00682E50" w:rsidR="00682E50" w:rsidP="00682E50" w:rsidRDefault="00682E50" w14:paraId="54DFCF7F" w14:textId="2350A533">
      <w:pPr>
        <w:pStyle w:val="Heading1"/>
        <w:rPr>
          <w:rFonts w:ascii="Aptos" w:hAnsi="Aptos"/>
          <w:sz w:val="22"/>
          <w:szCs w:val="22"/>
        </w:rPr>
      </w:pPr>
      <w:bookmarkStart w:name="_33.6:_Application_of" w:id="52"/>
      <w:bookmarkStart w:name="___6._Application" w:id="53"/>
      <w:bookmarkStart w:name="_Toc242564001" w:id="54"/>
      <w:bookmarkEnd w:id="52"/>
      <w:r>
        <w:rPr>
          <w:rFonts w:ascii="Aptos" w:hAnsi="Aptos"/>
          <w:sz w:val="22"/>
          <w:szCs w:val="22"/>
        </w:rPr>
        <w:t xml:space="preserve">33.6 : </w:t>
      </w:r>
      <w:hyperlink w:history="1" r:id="rId37">
        <w:r w:rsidRPr="00682E50">
          <w:rPr>
            <w:rStyle w:val="Hyperlink"/>
            <w:rFonts w:ascii="Aptos" w:hAnsi="Aptos"/>
            <w:sz w:val="22"/>
            <w:szCs w:val="22"/>
          </w:rPr>
          <w:t xml:space="preserve">Application de l’article XIII en Équateur et au Pérou</w:t>
        </w:r>
        <w:bookmarkEnd w:id="53"/>
        <w:bookmarkEnd w:id="54"/>
      </w:hyperlink>
      <w:r w:rsidRPr="00682E50">
        <w:rPr>
          <w:rFonts w:ascii="Aptos" w:hAnsi="Aptos"/>
          <w:sz w:val="22"/>
          <w:szCs w:val="22"/>
        </w:rPr>
        <w:t xml:space="preserve"> </w:t>
      </w:r>
    </w:p>
    <w:p w:rsidR="00682E50" w:rsidP="00682E50" w:rsidRDefault="00682E50" w14:paraId="0EEF0272" w14:textId="77777777">
      <w:pPr>
        <w:pStyle w:val="SC81Normal"/>
        <w:spacing w:after="0"/>
      </w:pPr>
    </w:p>
    <w:p w:rsidRPr="00682E50" w:rsidR="00682E50" w:rsidP="00682E50" w:rsidRDefault="00682E50" w14:paraId="292821B7" w14:textId="72D5CB8E">
      <w:pPr>
        <w:pStyle w:val="SC81Normal"/>
        <w:spacing w:after="0"/>
      </w:pPr>
      <w:r w:rsidRPr="00682E50">
        <w:lastRenderedPageBreak/>
      </w:r>
      <w:r w:rsidRPr="00682E50">
        <w:t xml:space="preserve">La WCS prend note des progrès réalisés par l’Équateur dans la mise en œuvre des inscriptions des requins et des raies détaillées dans ce document. Nous souscrivons pleinement aux recommandations visant à maintenir la suspension du commerce des requins soyeux, mako et renards jusqu’à ce que des NDF adéquats soient en place.</w:t>
      </w:r>
    </w:p>
    <w:p w:rsidRPr="00682E50" w:rsidR="00682E50" w:rsidP="00682E50" w:rsidRDefault="00682E50" w14:paraId="03A23683" w14:textId="77777777">
      <w:pPr>
        <w:pStyle w:val="SC81Normal"/>
        <w:spacing w:after="0"/>
      </w:pPr>
      <w:r w:rsidRPr="00682E50">
        <w:t xml:space="preserve">Toutefois, le fait de présenter les informations relatives aux nouveaux NDF proposés uniquement au président du Comité consultatif (AC) et au Secrétariat est insuffisant, compte tenu de l’ampleur du commerce en question, de la nature technique du sujet et du fait que plusieurs de ces espèces sont classées comme « en danger » sur la Liste rouge des espèces menacées de l’UICN. </w:t>
      </w:r>
    </w:p>
    <w:p w:rsidRPr="00682E50" w:rsidR="00682E50" w:rsidP="00682E50" w:rsidRDefault="00682E50" w14:paraId="0111E894" w14:textId="77777777">
      <w:pPr>
        <w:spacing w:line="240" w:lineRule="auto"/>
        <w:rPr>
          <w:rFonts w:ascii="Aptos" w:hAnsi="Aptos" w:eastAsia="Aptos" w:cs="Aptos"/>
          <w:lang w:val="en-US"/>
        </w:rPr>
      </w:pPr>
    </w:p>
    <w:p w:rsidRPr="00682E50" w:rsidR="00682E50" w:rsidP="00682E50" w:rsidRDefault="00682E50" w14:paraId="271436F5" w14:textId="77777777">
      <w:pPr>
        <w:spacing w:line="240" w:lineRule="auto"/>
        <w:rPr>
          <w:rFonts w:ascii="Aptos" w:hAnsi="Aptos" w:eastAsia="Aptos" w:cs="Aptos"/>
          <w:color w:val="B8CCE4" w:themeColor="accent1" w:themeTint="66"/>
          <w:lang w:val="en-US"/>
        </w:rPr>
      </w:pPr>
      <w:r w:rsidRPr="00682E50">
        <w:rPr>
          <w:rFonts w:ascii="Aptos" w:hAnsi="Aptos" w:eastAsia="Aptos" w:cs="Aptos"/>
          <w:lang w:val="en-US"/>
        </w:rPr>
        <w:t xml:space="preserve">Le présent document contient des détails sur le commerce à grande échelle qui se poursuit concernant des espèces classées comme « en danger » sur la Liste rouge des espèces menacées de l’UICN ; il est impératif de veiller en priorité à ce que tout commerce continu de ces espèces soit durable, et les informations fournies par l’Équateur à cette fin sous la forme de NDF révisés devraient être présentées au Comité des animaux pour analyse (et pas uniquement à celle du président du CA) avant que cette question ne soit à nouveau soumise à la 82e session du Comité de sauvegarde (SC 82). </w:t>
      </w:r>
    </w:p>
    <w:p w:rsidRPr="00682E50" w:rsidR="00682E50" w:rsidP="00682E50" w:rsidRDefault="00682E50" w14:paraId="4D8D0988" w14:textId="77777777">
      <w:pPr>
        <w:spacing w:line="240" w:lineRule="auto"/>
        <w:rPr>
          <w:rFonts w:ascii="Aptos" w:hAnsi="Aptos" w:eastAsia="Aptos" w:cs="Aptos"/>
        </w:rPr>
      </w:pPr>
    </w:p>
    <w:p w:rsidRPr="00682E50" w:rsidR="00682E50" w:rsidP="00682E50" w:rsidRDefault="00682E50" w14:paraId="36B3720C" w14:textId="560EB2E0">
      <w:pPr>
        <w:pStyle w:val="Heading1"/>
        <w:rPr>
          <w:rFonts w:ascii="Aptos" w:hAnsi="Aptos"/>
          <w:sz w:val="22"/>
          <w:szCs w:val="22"/>
        </w:rPr>
      </w:pPr>
      <w:bookmarkStart w:name="_33.8._Application_of_1" w:id="55"/>
      <w:bookmarkStart w:name="_33.8._Application_of" w:id="56"/>
      <w:bookmarkStart w:name="_Toc242564002" w:id="57"/>
      <w:bookmarkEnd w:id="55"/>
      <w:r w:rsidRPr="00682E50">
        <w:rPr>
          <w:rFonts w:ascii="Aptos" w:hAnsi="Aptos"/>
          <w:sz w:val="22"/>
          <w:szCs w:val="22"/>
        </w:rPr>
        <w:t xml:space="preserve">33.</w:t>
      </w:r>
      <w:bookmarkStart w:name="___8._Application" w:id="58"/>
      <w:r w:rsidRPr="00682E50">
        <w:rPr>
          <w:rFonts w:ascii="Aptos" w:hAnsi="Aptos"/>
          <w:sz w:val="22"/>
          <w:szCs w:val="22"/>
        </w:rPr>
        <w:t xml:space="preserve"> 8 </w:t>
      </w:r>
      <w:r w:rsidR="00395EA8">
        <w:rPr>
          <w:rFonts w:ascii="Aptos" w:hAnsi="Aptos"/>
          <w:sz w:val="22"/>
          <w:szCs w:val="22"/>
        </w:rPr>
        <w:t xml:space="preserve">: </w:t>
      </w:r>
      <w:r w:rsidRPr="00682E50">
        <w:rPr>
          <w:rFonts w:ascii="Aptos" w:hAnsi="Aptos"/>
          <w:sz w:val="22"/>
          <w:szCs w:val="22"/>
        </w:rPr>
        <w:t xml:space="preserve">Application de l’article XIII en Inde</w:t>
      </w:r>
      <w:bookmarkEnd w:id="56"/>
      <w:bookmarkEnd w:id="57"/>
      <w:bookmarkEnd w:id="58"/>
      <w:r w:rsidRPr="00682E50">
        <w:rPr>
          <w:rFonts w:ascii="Aptos" w:hAnsi="Aptos"/>
          <w:sz w:val="22"/>
          <w:szCs w:val="22"/>
        </w:rPr>
        <w:t xml:space="preserve"> </w:t>
      </w:r>
    </w:p>
    <w:p w:rsidR="00682E50" w:rsidP="00682E50" w:rsidRDefault="00682E50" w14:paraId="1755CEFF" w14:textId="77777777">
      <w:pPr>
        <w:spacing w:line="240" w:lineRule="auto"/>
        <w:rPr>
          <w:rFonts w:ascii="Aptos" w:hAnsi="Aptos" w:eastAsia="Aptos" w:cs="Aptos"/>
        </w:rPr>
      </w:pPr>
    </w:p>
    <w:p w:rsidR="00682E50" w:rsidP="00682E50" w:rsidRDefault="00682E50" w14:paraId="1DA06BAE" w14:textId="79FCE3A8">
      <w:pPr>
        <w:spacing w:line="240" w:lineRule="auto"/>
        <w:rPr>
          <w:rFonts w:ascii="Aptos" w:hAnsi="Aptos" w:eastAsia="Aptos" w:cs="Aptos"/>
          <w:color w:val="B8CCE4" w:themeColor="accent1" w:themeTint="66"/>
          <w:lang w:val="en-SG"/>
        </w:rPr>
      </w:pPr>
      <w:r w:rsidRPr="73356980">
        <w:rPr>
          <w:rFonts w:ascii="Aptos" w:hAnsi="Aptos" w:eastAsia="Aptos" w:cs="Aptos"/>
          <w:color w:val="B8CCE4" w:themeColor="accent1" w:themeTint="66"/>
          <w:lang w:val="en-SG"/>
        </w:rPr>
        <w:t xml:space="preserve">Nous nous réjouissons de pouvoir fournir </w:t>
      </w:r>
      <w:r w:rsidRPr="73356980" w:rsidR="4318241D">
        <w:rPr>
          <w:rFonts w:ascii="Aptos" w:hAnsi="Aptos" w:eastAsia="Aptos" w:cs="Aptos"/>
          <w:color w:val="B8CCE4" w:themeColor="accent1" w:themeTint="66"/>
          <w:lang w:val="en-SG"/>
        </w:rPr>
        <w:t xml:space="preserve">des commentaires</w:t>
      </w:r>
      <w:r w:rsidRPr="73356980">
        <w:rPr>
          <w:rFonts w:ascii="Aptos" w:hAnsi="Aptos" w:eastAsia="Aptos" w:cs="Aptos"/>
          <w:color w:val="B8CCE4" w:themeColor="accent1" w:themeTint="66"/>
          <w:lang w:val="en-SG"/>
        </w:rPr>
        <w:t xml:space="preserve"> supplémentaires </w:t>
      </w:r>
      <w:r w:rsidRPr="73356980">
        <w:rPr>
          <w:rFonts w:ascii="Aptos" w:hAnsi="Aptos" w:eastAsia="Aptos" w:cs="Aptos"/>
          <w:color w:val="B8CCE4" w:themeColor="accent1" w:themeTint="66"/>
          <w:lang w:val="en-SG"/>
        </w:rPr>
        <w:t xml:space="preserve">à l’approche de la 81e session du Comité de la conservation (SC81). </w:t>
      </w:r>
    </w:p>
    <w:p w:rsidRPr="00682E50" w:rsidR="00682E50" w:rsidP="00682E50" w:rsidRDefault="00682E50" w14:paraId="0E48E5B1" w14:textId="77777777">
      <w:pPr>
        <w:spacing w:line="240" w:lineRule="auto"/>
        <w:rPr>
          <w:rFonts w:ascii="Aptos" w:hAnsi="Aptos" w:eastAsia="Aptos" w:cs="Aptos"/>
        </w:rPr>
      </w:pPr>
    </w:p>
    <w:p w:rsidRPr="00682E50" w:rsidR="00682E50" w:rsidP="00682E50" w:rsidRDefault="00682E50" w14:paraId="51F2CB5A" w14:textId="6545FD65">
      <w:pPr>
        <w:pStyle w:val="Heading1"/>
        <w:rPr>
          <w:rFonts w:ascii="Aptos" w:hAnsi="Aptos"/>
          <w:sz w:val="22"/>
          <w:szCs w:val="22"/>
        </w:rPr>
      </w:pPr>
      <w:bookmarkStart w:name="_33.9:_Application_of" w:id="59"/>
      <w:bookmarkStart w:name="___9._Application" w:id="60"/>
      <w:bookmarkStart w:name="_33.9._Application_of" w:id="61"/>
      <w:bookmarkStart w:name="_Toc242564003" w:id="62"/>
      <w:bookmarkEnd w:id="59"/>
      <w:r w:rsidRPr="00682E50">
        <w:rPr>
          <w:rFonts w:ascii="Aptos" w:hAnsi="Aptos"/>
          <w:sz w:val="22"/>
          <w:szCs w:val="22"/>
        </w:rPr>
        <w:t xml:space="preserve">33.</w:t>
      </w:r>
      <w:r>
        <w:rPr>
          <w:rFonts w:ascii="Aptos" w:hAnsi="Aptos"/>
          <w:sz w:val="22"/>
          <w:szCs w:val="22"/>
        </w:rPr>
        <w:t xml:space="preserve">9 : </w:t>
      </w:r>
      <w:r w:rsidRPr="00682E50">
        <w:rPr>
          <w:rFonts w:ascii="Aptos" w:hAnsi="Aptos"/>
          <w:sz w:val="22"/>
          <w:szCs w:val="22"/>
        </w:rPr>
        <w:t xml:space="preserve">Application de l’article XIII en République démocratique populaire lao</w:t>
      </w:r>
      <w:bookmarkEnd w:id="60"/>
      <w:bookmarkEnd w:id="61"/>
      <w:bookmarkEnd w:id="62"/>
    </w:p>
    <w:p w:rsidRPr="00682E50" w:rsidR="00682E50" w:rsidP="00682E50" w:rsidRDefault="00682E50" w14:paraId="6927D83E" w14:textId="77777777">
      <w:pPr>
        <w:spacing w:line="240" w:lineRule="auto"/>
        <w:rPr>
          <w:rFonts w:ascii="Aptos" w:hAnsi="Aptos"/>
        </w:rPr>
      </w:pPr>
    </w:p>
    <w:p w:rsidR="00682E50" w:rsidP="00682E50" w:rsidRDefault="00682E50" w14:paraId="5F2D02B9" w14:textId="74B6C76A">
      <w:pPr>
        <w:spacing w:line="240" w:lineRule="auto"/>
        <w:rPr>
          <w:rFonts w:ascii="Aptos" w:hAnsi="Aptos" w:eastAsia="Aptos" w:cs="Aptos"/>
          <w:lang w:val="en-US"/>
        </w:rPr>
      </w:pPr>
      <w:r w:rsidRPr="00682E50">
        <w:rPr>
          <w:rFonts w:ascii="Aptos" w:hAnsi="Aptos" w:eastAsia="Aptos" w:cs="Aptos"/>
          <w:lang w:val="en-US"/>
        </w:rPr>
        <w:t xml:space="preserve">La WCS travaille en étroite collaboration avec le gouvernement de la République démocratique populaire du Laos sur des projets de conservation sur le terrain, ainsi que sur la mise en œuvre de la CITES et des efforts nationaux de lutte contre le trafic d’espèces sauvages. La WCS se tient prête à collaborer étroitement avec le gouvernement de la République démocratique populaire du Laos afin de mettre pleinement en œuvre les recommandations adoptées par le Comité de conservation (SC) pour résoudre toute question en suspens concernant la mise en œuvre de la CITES</w:t>
      </w:r>
      <w:r>
        <w:rPr>
          <w:rFonts w:ascii="Aptos" w:hAnsi="Aptos" w:eastAsia="Aptos" w:cs="Aptos"/>
          <w:lang w:val="en-US"/>
        </w:rPr>
        <w:t xml:space="preserve">.</w:t>
      </w:r>
    </w:p>
    <w:p w:rsidRPr="00682E50" w:rsidR="00682E50" w:rsidP="00682E50" w:rsidRDefault="00682E50" w14:paraId="4BDBCE13" w14:textId="77777777">
      <w:pPr>
        <w:spacing w:line="240" w:lineRule="auto"/>
        <w:rPr>
          <w:rFonts w:ascii="Aptos" w:hAnsi="Aptos" w:eastAsia="Aptos" w:cs="Aptos"/>
          <w:lang w:val="en-US"/>
        </w:rPr>
      </w:pPr>
    </w:p>
    <w:p w:rsidRPr="00682E50" w:rsidR="00682E50" w:rsidP="00682E50" w:rsidRDefault="00682E50" w14:paraId="5CCE4FD1" w14:textId="59103597">
      <w:pPr>
        <w:pStyle w:val="Heading1"/>
        <w:rPr>
          <w:rStyle w:val="Hyperlink"/>
          <w:rFonts w:ascii="Aptos" w:hAnsi="Aptos"/>
          <w:sz w:val="22"/>
          <w:szCs w:val="22"/>
        </w:rPr>
      </w:pPr>
      <w:bookmarkStart w:name="_33.10:_Application_of" w:id="63"/>
      <w:bookmarkStart w:name="___10._Application" w:id="64"/>
      <w:bookmarkStart w:name="_Toc242564004" w:id="65"/>
      <w:bookmarkEnd w:id="63"/>
      <w:r>
        <w:rPr>
          <w:rFonts w:ascii="Aptos" w:hAnsi="Aptos"/>
          <w:sz w:val="22"/>
          <w:szCs w:val="22"/>
        </w:rPr>
        <w:t xml:space="preserve">33.10 :</w:t>
      </w:r>
      <w:hyperlink w:history="1" r:id="rId38">
        <w:bookmarkStart w:name="_33.10._Application_of" w:id="66"/>
        <w:r w:rsidRPr="00682E50">
          <w:rPr>
            <w:rStyle w:val="Hyperlink"/>
            <w:rFonts w:ascii="Aptos" w:hAnsi="Aptos"/>
            <w:sz w:val="22"/>
            <w:szCs w:val="22"/>
          </w:rPr>
          <w:t xml:space="preserve"> Application de l’article XIII au Nigeria</w:t>
        </w:r>
        <w:bookmarkEnd w:id="64"/>
        <w:bookmarkEnd w:id="65"/>
      </w:hyperlink>
      <w:bookmarkEnd w:id="66"/>
    </w:p>
    <w:p w:rsidR="00682E50" w:rsidP="00682E50" w:rsidRDefault="00682E50" w14:paraId="4AC208F9" w14:textId="77777777">
      <w:pPr>
        <w:spacing w:line="240" w:lineRule="auto"/>
        <w:rPr>
          <w:rFonts w:ascii="Aptos" w:hAnsi="Aptos" w:eastAsia="Aptos" w:cs="Aptos"/>
        </w:rPr>
      </w:pPr>
    </w:p>
    <w:p w:rsidR="221ABD69" w:rsidP="164385D1" w:rsidRDefault="221ABD69" w14:paraId="068459ED" w14:textId="13DD3F39">
      <w:pPr>
        <w:spacing w:line="240" w:lineRule="auto"/>
        <w:rPr>
          <w:rFonts w:ascii="Aptos" w:hAnsi="Aptos" w:eastAsia="Aptos" w:cs="Aptos"/>
          <w:lang w:val="en-US"/>
        </w:rPr>
      </w:pPr>
      <w:r w:rsidRPr="164385D1">
        <w:rPr>
          <w:rFonts w:ascii="Aptos" w:hAnsi="Aptos" w:eastAsia="Aptos" w:cs="Aptos"/>
          <w:lang w:val="en-US"/>
        </w:rPr>
        <w:t xml:space="preserve">La WCS travaille en étroite collaboration avec le gouvernement du Nigeria et les autorités compétentes sur des initiatives de lutte contre le braconnage et d’application de la loi fondées sur le renseignement, entre autres interventions, au sein de la réserve de chasse de Yankari dans l’État de Bauchi, ainsi qu’au parc national de Cross River et dans l’ensemble de l’État de Cross River. Nous saluons les progrès signalés par le Nigeria et nous attendons avec impatience l’adoption en temps voulu du projet de loi sur la conservation et la protection des espèces menacées d’ici fin 2026.</w:t>
      </w:r>
    </w:p>
    <w:p w:rsidR="00682E50" w:rsidP="00682E50" w:rsidRDefault="00682E50" w14:paraId="22802A26" w14:textId="77777777">
      <w:pPr>
        <w:pStyle w:val="Heading1"/>
        <w:rPr>
          <w:rFonts w:ascii="Aptos" w:hAnsi="Aptos"/>
          <w:sz w:val="22"/>
          <w:szCs w:val="22"/>
        </w:rPr>
      </w:pPr>
    </w:p>
    <w:p w:rsidRPr="00682E50" w:rsidR="00682E50" w:rsidP="00682E50" w:rsidRDefault="00682E50" w14:paraId="4EDB303F" w14:textId="77777777"/>
    <w:p w:rsidRPr="00682E50" w:rsidR="00682E50" w:rsidP="00682E50" w:rsidRDefault="00682E50" w14:paraId="29DDC4A7" w14:textId="0EE35EE9">
      <w:pPr>
        <w:pStyle w:val="Heading1"/>
        <w:rPr>
          <w:rFonts w:ascii="Aptos" w:hAnsi="Aptos"/>
          <w:sz w:val="22"/>
          <w:szCs w:val="22"/>
        </w:rPr>
      </w:pPr>
      <w:bookmarkStart w:name="_34:_National_ivory" w:id="67"/>
      <w:bookmarkStart w:name="_National_ivory_action" w:id="68"/>
      <w:bookmarkStart w:name="_Toc242564005" w:id="69"/>
      <w:bookmarkEnd w:id="67"/>
      <w:r w:rsidRPr="00682E50">
        <w:rPr>
          <w:rFonts w:ascii="Aptos" w:hAnsi="Aptos"/>
          <w:sz w:val="22"/>
          <w:szCs w:val="22"/>
        </w:rPr>
        <w:t xml:space="preserve">34 </w:t>
      </w:r>
      <w:r>
        <w:rPr>
          <w:rFonts w:ascii="Aptos" w:hAnsi="Aptos"/>
          <w:sz w:val="22"/>
          <w:szCs w:val="22"/>
        </w:rPr>
        <w:t xml:space="preserve">: </w:t>
      </w:r>
      <w:r w:rsidRPr="00682E50">
        <w:rPr>
          <w:rFonts w:ascii="Aptos" w:hAnsi="Aptos"/>
          <w:sz w:val="22"/>
          <w:szCs w:val="22"/>
        </w:rPr>
        <w:t xml:space="preserve">Processus du plan d’action national sur l’ivoire</w:t>
      </w:r>
      <w:bookmarkEnd w:id="68"/>
      <w:bookmarkEnd w:id="69"/>
      <w:r w:rsidRPr="00682E50">
        <w:rPr>
          <w:rFonts w:ascii="Aptos" w:hAnsi="Aptos"/>
          <w:sz w:val="22"/>
          <w:szCs w:val="22"/>
        </w:rPr>
        <w:t xml:space="preserve"> </w:t>
      </w:r>
    </w:p>
    <w:p w:rsidRPr="00682E50" w:rsidR="00682E50" w:rsidP="00682E50" w:rsidRDefault="00682E50" w14:paraId="3BCE1422" w14:textId="77777777">
      <w:pPr>
        <w:spacing w:line="240" w:lineRule="auto"/>
        <w:rPr>
          <w:rFonts w:ascii="Aptos" w:hAnsi="Aptos" w:eastAsia="Aptos" w:cs="Aptos"/>
        </w:rPr>
      </w:pPr>
    </w:p>
    <w:p w:rsidRPr="00682E50" w:rsidR="00682E50" w:rsidP="00682E50" w:rsidRDefault="00682E50" w14:paraId="6BE7318B" w14:textId="3288C82B">
      <w:pPr>
        <w:pStyle w:val="Heading1"/>
        <w:rPr>
          <w:rFonts w:ascii="Aptos" w:hAnsi="Aptos"/>
          <w:sz w:val="22"/>
          <w:szCs w:val="22"/>
        </w:rPr>
      </w:pPr>
      <w:bookmarkStart w:name="_34.1:_Implementation_of" w:id="70"/>
      <w:bookmarkStart w:name="_Toc242564006" w:id="71"/>
      <w:bookmarkEnd w:id="70"/>
      <w:r w:rsidRPr="00682E50">
        <w:rPr>
          <w:rFonts w:ascii="Aptos" w:hAnsi="Aptos"/>
          <w:sz w:val="22"/>
          <w:szCs w:val="22"/>
        </w:rPr>
        <w:t xml:space="preserve">34.</w:t>
      </w:r>
      <w:bookmarkStart w:name="___1._Implementation_1" w:id="72"/>
      <w:r w:rsidRPr="00682E50">
        <w:rPr>
          <w:rFonts w:ascii="Aptos" w:hAnsi="Aptos"/>
          <w:sz w:val="22"/>
          <w:szCs w:val="22"/>
        </w:rPr>
        <w:t xml:space="preserve"> 1 </w:t>
      </w:r>
      <w:r>
        <w:rPr>
          <w:rFonts w:ascii="Aptos" w:hAnsi="Aptos"/>
          <w:sz w:val="22"/>
          <w:szCs w:val="22"/>
        </w:rPr>
        <w:t xml:space="preserve">: </w:t>
      </w:r>
      <w:r w:rsidRPr="00682E50">
        <w:rPr>
          <w:rFonts w:ascii="Aptos" w:hAnsi="Aptos"/>
          <w:sz w:val="22"/>
          <w:szCs w:val="22"/>
        </w:rPr>
        <w:t xml:space="preserve">Mise en œuvre du processus du plan d’action national sur l’ivoire [(Résolution Conf. 10.10 (Rev. CoP20), annexe 3), étape 4</w:t>
      </w:r>
      <w:bookmarkStart w:name="_Int_kYjYcuqK" w:id="73"/>
      <w:r w:rsidRPr="00682E50">
        <w:rPr>
          <w:rFonts w:ascii="Aptos" w:hAnsi="Aptos"/>
          <w:sz w:val="22"/>
          <w:szCs w:val="22"/>
        </w:rPr>
        <w:t xml:space="preserve"> ]</w:t>
      </w:r>
      <w:bookmarkEnd w:id="71"/>
      <w:bookmarkEnd w:id="72"/>
      <w:bookmarkEnd w:id="73"/>
    </w:p>
    <w:p w:rsidR="00682E50" w:rsidP="00682E50" w:rsidRDefault="00682E50" w14:paraId="73FB12CF" w14:textId="77777777">
      <w:pPr>
        <w:spacing w:line="240" w:lineRule="auto"/>
        <w:rPr>
          <w:rFonts w:ascii="Aptos" w:hAnsi="Aptos" w:eastAsia="Aptos" w:cs="Aptos"/>
          <w:color w:val="B8CCE4" w:themeColor="accent1" w:themeTint="66"/>
          <w:lang w:val="en-SG"/>
        </w:rPr>
      </w:pPr>
    </w:p>
    <w:p w:rsidR="00682E50" w:rsidP="00682E50" w:rsidRDefault="00682E50" w14:paraId="7AD5729C" w14:textId="58829E10">
      <w:pPr>
        <w:spacing w:line="240" w:lineRule="auto"/>
        <w:rPr>
          <w:rFonts w:ascii="Aptos" w:hAnsi="Aptos" w:eastAsia="Aptos" w:cs="Aptos"/>
          <w:color w:val="B8CCE4" w:themeColor="accent1" w:themeTint="66"/>
          <w:lang w:val="en-SG"/>
        </w:rPr>
      </w:pPr>
      <w:r w:rsidRPr="73356980">
        <w:rPr>
          <w:rFonts w:ascii="Aptos" w:hAnsi="Aptos" w:eastAsia="Aptos" w:cs="Aptos"/>
          <w:color w:val="B8CCE4" w:themeColor="accent1" w:themeTint="66"/>
          <w:lang w:val="en-SG"/>
        </w:rPr>
        <w:t xml:space="preserve">Nous nous réjouissons de pouvoir fournir </w:t>
      </w:r>
      <w:r w:rsidRPr="73356980" w:rsidR="0C4EF09B">
        <w:rPr>
          <w:rFonts w:ascii="Aptos" w:hAnsi="Aptos" w:eastAsia="Aptos" w:cs="Aptos"/>
          <w:color w:val="B8CCE4" w:themeColor="accent1" w:themeTint="66"/>
          <w:lang w:val="en-SG"/>
        </w:rPr>
        <w:t xml:space="preserve">des commentaires</w:t>
      </w:r>
      <w:r w:rsidRPr="73356980">
        <w:rPr>
          <w:rFonts w:ascii="Aptos" w:hAnsi="Aptos" w:eastAsia="Aptos" w:cs="Aptos"/>
          <w:color w:val="B8CCE4" w:themeColor="accent1" w:themeTint="66"/>
          <w:lang w:val="en-SG"/>
        </w:rPr>
        <w:t xml:space="preserve"> supplémentaires </w:t>
      </w:r>
      <w:r w:rsidRPr="73356980">
        <w:rPr>
          <w:rFonts w:ascii="Aptos" w:hAnsi="Aptos" w:eastAsia="Aptos" w:cs="Aptos"/>
          <w:color w:val="B8CCE4" w:themeColor="accent1" w:themeTint="66"/>
          <w:lang w:val="en-SG"/>
        </w:rPr>
        <w:t xml:space="preserve">à l’approche de la 81e session du Comité de sauvegarde (SC81). </w:t>
      </w:r>
    </w:p>
    <w:p w:rsidRPr="00682E50" w:rsidR="00682E50" w:rsidP="00682E50" w:rsidRDefault="00682E50" w14:paraId="6FE1A11F" w14:textId="77777777">
      <w:pPr>
        <w:spacing w:line="240" w:lineRule="auto"/>
        <w:rPr>
          <w:rFonts w:ascii="Aptos" w:hAnsi="Aptos" w:eastAsia="Aptos" w:cs="Aptos"/>
        </w:rPr>
      </w:pPr>
    </w:p>
    <w:p w:rsidRPr="00682E50" w:rsidR="00682E50" w:rsidP="00682E50" w:rsidRDefault="00682E50" w14:paraId="3DEF25FC" w14:textId="20657EAB">
      <w:pPr>
        <w:pStyle w:val="Heading1"/>
        <w:rPr>
          <w:rFonts w:ascii="Aptos" w:hAnsi="Aptos"/>
          <w:sz w:val="22"/>
          <w:szCs w:val="22"/>
        </w:rPr>
      </w:pPr>
      <w:bookmarkStart w:name="_34.2:_Review_of" w:id="74"/>
      <w:bookmarkStart w:name="___2._Review" w:id="75"/>
      <w:bookmarkStart w:name="_Toc242564007" w:id="76"/>
      <w:bookmarkEnd w:id="74"/>
      <w:r>
        <w:rPr>
          <w:rFonts w:ascii="Aptos" w:hAnsi="Aptos"/>
          <w:sz w:val="22"/>
          <w:szCs w:val="22"/>
        </w:rPr>
        <w:t xml:space="preserve">34.2 : </w:t>
      </w:r>
      <w:hyperlink w:history="1" r:id="rId39">
        <w:r w:rsidRPr="00682E50">
          <w:rPr>
            <w:rStyle w:val="Hyperlink"/>
            <w:rFonts w:ascii="Aptos" w:hAnsi="Aptos"/>
            <w:sz w:val="22"/>
            <w:szCs w:val="22"/>
          </w:rPr>
          <w:t xml:space="preserve">Examen du processus des plans d’action nationaux sur l’ivoire (décision 20.101</w:t>
        </w:r>
      </w:hyperlink>
      <w:r w:rsidRPr="00682E50">
        <w:rPr>
          <w:rFonts w:ascii="Aptos" w:hAnsi="Aptos"/>
          <w:sz w:val="22"/>
          <w:szCs w:val="22"/>
        </w:rPr>
        <w:t xml:space="preserve">)</w:t>
      </w:r>
      <w:bookmarkEnd w:id="75"/>
      <w:bookmarkEnd w:id="76"/>
    </w:p>
    <w:p w:rsidR="00682E50" w:rsidP="00682E50" w:rsidRDefault="00682E50" w14:paraId="73393730" w14:textId="77777777">
      <w:pPr>
        <w:pStyle w:val="SC81Normal"/>
        <w:spacing w:after="0"/>
      </w:pPr>
    </w:p>
    <w:p w:rsidR="00682E50" w:rsidP="00682E50" w:rsidRDefault="00682E50" w14:paraId="1A911AD4" w14:textId="11EAAE9B">
      <w:pPr>
        <w:pStyle w:val="SC81Normal"/>
        <w:spacing w:after="0"/>
      </w:pPr>
      <w:r w:rsidRPr="00682E50">
        <w:t xml:space="preserve">Nous convenons que le modèle de plan d’action national sur l’ivoire (NIAP) devrait être modifié afin d’inclure des moyens de vérification, ainsi qu’un processus simplifié garantissant que les actions prévues dans le NIAP qui n’auraient pas été menées à bien dans les délais envisagés puissent être prolongées. Nous attendons avec intérêt l’examen de ces modifications proposées par le SC82. </w:t>
      </w:r>
    </w:p>
    <w:p w:rsidRPr="00682E50" w:rsidR="00682E50" w:rsidP="00682E50" w:rsidRDefault="00682E50" w14:paraId="2E512C73" w14:textId="77777777">
      <w:pPr>
        <w:pStyle w:val="SC81Normal"/>
        <w:spacing w:after="0"/>
      </w:pPr>
    </w:p>
    <w:p w:rsidR="00682E50" w:rsidP="00682E50" w:rsidRDefault="00682E50" w14:paraId="4BBEE82B" w14:textId="77777777">
      <w:pPr>
        <w:pStyle w:val="SC81Normal"/>
        <w:spacing w:after="0"/>
      </w:pPr>
      <w:r w:rsidRPr="00682E50">
        <w:lastRenderedPageBreak/>
      </w:r>
      <w:r w:rsidRPr="00682E50">
        <w:t xml:space="preserve">Nous ne partageons pas l’analyse du Secrétariat citée dans le document CoP20 Doc. 35.2, selon laquelle les aspects liés à la « composition, aux contraintes de temps et aux implications en termes de ressources » pourraient l’emporter sur les avantages potentiels d’un organe consultatif indépendant. Nous comprenons les contraintes actuelles en matière de ressources, mais estimons que l’efficacité d’un organe consultatif indépendant aiderait les Parties à cibler et à mener à bien les actions les plus importantes visant à réduire l’abattage illégal d’éléphants et le commerce illégal de l’ivoire, ce qui permettrait de réduire les dépenses à long terme liées au processus des NIAP.  </w:t>
      </w:r>
    </w:p>
    <w:p w:rsidRPr="00682E50" w:rsidR="00682E50" w:rsidP="00682E50" w:rsidRDefault="00682E50" w14:paraId="79B2873F" w14:textId="77777777">
      <w:pPr>
        <w:pStyle w:val="SC81Normal"/>
        <w:spacing w:after="0"/>
      </w:pPr>
    </w:p>
    <w:p w:rsidRPr="00682E50" w:rsidR="00682E50" w:rsidP="00682E50" w:rsidRDefault="00682E50" w14:paraId="75DD9974" w14:textId="77777777">
      <w:pPr>
        <w:pStyle w:val="SC81Normal"/>
        <w:spacing w:after="0"/>
      </w:pPr>
      <w:r w:rsidRPr="00682E50">
        <w:t xml:space="preserve">Nous notons les liens entre cette discussion et les options présentées dans le document 32.3 et estimons que cela pourrait être pris en compte par un groupe de travail intersessionnel. </w:t>
      </w:r>
    </w:p>
    <w:p w:rsidRPr="00682E50" w:rsidR="00682E50" w:rsidP="00682E50" w:rsidRDefault="00682E50" w14:paraId="5154DD31" w14:textId="77777777">
      <w:pPr>
        <w:spacing w:line="240" w:lineRule="auto"/>
        <w:rPr>
          <w:rFonts w:ascii="Aptos" w:hAnsi="Aptos" w:eastAsia="Aptos" w:cs="Aptos"/>
          <w:lang w:val="en-US"/>
        </w:rPr>
      </w:pPr>
    </w:p>
    <w:p w:rsidRPr="00682E50" w:rsidR="00682E50" w:rsidP="00682E50" w:rsidRDefault="00682E50" w14:paraId="3FB689C7" w14:textId="437D0015">
      <w:pPr>
        <w:pStyle w:val="Heading1"/>
        <w:rPr>
          <w:rFonts w:ascii="Aptos" w:hAnsi="Aptos"/>
          <w:sz w:val="22"/>
          <w:szCs w:val="22"/>
        </w:rPr>
      </w:pPr>
      <w:bookmarkStart w:name="_34.4:_Guidance_on" w:id="77"/>
      <w:bookmarkStart w:name="___4._Guidance" w:id="78"/>
      <w:bookmarkStart w:name="_Toc242564008" w:id="79"/>
      <w:bookmarkEnd w:id="77"/>
      <w:r>
        <w:rPr>
          <w:rFonts w:ascii="Aptos" w:hAnsi="Aptos"/>
          <w:sz w:val="22"/>
          <w:szCs w:val="22"/>
        </w:rPr>
        <w:t xml:space="preserve">34.4 : </w:t>
      </w:r>
      <w:hyperlink w:history="1" r:id="rId40">
        <w:r w:rsidRPr="00682E50">
          <w:rPr>
            <w:rStyle w:val="Hyperlink"/>
            <w:rFonts w:ascii="Aptos" w:hAnsi="Aptos"/>
            <w:sz w:val="22"/>
            <w:szCs w:val="22"/>
          </w:rPr>
          <w:t xml:space="preserve">Orientations sur les mesures de conformité spécifiques aux Parties, fondées sur le rapport de l’ETIS (décision 20.102)</w:t>
        </w:r>
        <w:bookmarkEnd w:id="78"/>
        <w:bookmarkEnd w:id="79"/>
      </w:hyperlink>
      <w:r w:rsidRPr="00682E50">
        <w:rPr>
          <w:rFonts w:ascii="Aptos" w:hAnsi="Aptos"/>
          <w:sz w:val="22"/>
          <w:szCs w:val="22"/>
        </w:rPr>
        <w:t xml:space="preserve"> </w:t>
      </w:r>
    </w:p>
    <w:p w:rsidR="00682E50" w:rsidP="00682E50" w:rsidRDefault="00682E50" w14:paraId="5B3BCB72" w14:textId="77777777">
      <w:pPr>
        <w:pStyle w:val="SC81Normal"/>
        <w:spacing w:after="0"/>
      </w:pPr>
    </w:p>
    <w:p w:rsidRPr="00682E50" w:rsidR="00682E50" w:rsidP="00682E50" w:rsidRDefault="00682E50" w14:paraId="58D05D20" w14:textId="50FB7EC9">
      <w:pPr>
        <w:pStyle w:val="SC81Normal"/>
        <w:spacing w:after="0"/>
      </w:pPr>
      <w:r w:rsidRPr="00682E50">
        <w:t xml:space="preserve">D’une manière générale, nous estimons que les amendements proposés clarifient quelque peu le champ d’examen du Comité scientifique (SC) lorsqu’il s’agit de traduire les données et l’analyse de l’ETIS en décisions concernant l’intégration des Parties dans le processus du NIAP. </w:t>
      </w:r>
    </w:p>
    <w:p w:rsidR="00682E50" w:rsidP="00682E50" w:rsidRDefault="00682E50" w14:paraId="23FF513E" w14:textId="77777777">
      <w:pPr>
        <w:pStyle w:val="SC81Normal"/>
        <w:spacing w:after="0"/>
      </w:pPr>
    </w:p>
    <w:p w:rsidR="00682E50" w:rsidP="00682E50" w:rsidRDefault="00682E50" w14:paraId="4C91798E" w14:textId="1FF8B9DF">
      <w:pPr>
        <w:pStyle w:val="SC81Normal"/>
        <w:spacing w:after="0"/>
      </w:pPr>
      <w:r w:rsidRPr="00682E50">
        <w:t xml:space="preserve">Toutefois, nous souhaitons soulever deux points essentiels concernant les amendements proposés au paragraphe d) de l’étape 1, annexe 3 de la résolution Conf. 10.10 (Rev. CoP20) :</w:t>
      </w:r>
    </w:p>
    <w:p w:rsidRPr="00682E50" w:rsidR="00682E50" w:rsidP="00682E50" w:rsidRDefault="00682E50" w14:paraId="68F2FA4C" w14:textId="77777777">
      <w:pPr>
        <w:pStyle w:val="SC81Normal"/>
        <w:spacing w:after="0"/>
      </w:pPr>
    </w:p>
    <w:p w:rsidRPr="00682E50" w:rsidR="00682E50" w:rsidP="00682E50" w:rsidRDefault="00682E50" w14:paraId="03F109C4" w14:textId="77777777">
      <w:pPr>
        <w:pStyle w:val="ListParagraph"/>
        <w:numPr>
          <w:ilvl w:val="0"/>
          <w:numId w:val="5"/>
        </w:numPr>
        <w:spacing w:line="240" w:lineRule="auto"/>
        <w:rPr>
          <w:rFonts w:ascii="Aptos" w:hAnsi="Aptos" w:eastAsia="Aptos" w:cs="Aptos"/>
          <w:lang w:val="en-US"/>
        </w:rPr>
      </w:pPr>
      <w:r w:rsidRPr="00682E50">
        <w:rPr>
          <w:rFonts w:ascii="Aptos" w:hAnsi="Aptos" w:eastAsia="Aptos" w:cs="Aptos"/>
          <w:lang w:val="en-US"/>
        </w:rPr>
        <w:t xml:space="preserve">L’expression </w:t>
      </w:r>
      <w:r w:rsidRPr="00682E50">
        <w:rPr>
          <w:rFonts w:ascii="Aptos" w:hAnsi="Aptos" w:eastAsia="Aptos" w:cs="Aptos"/>
          <w:i/>
          <w:iCs/>
          <w:lang w:val="en-US"/>
        </w:rPr>
        <w:t xml:space="preserve">« entre autres </w:t>
      </w:r>
      <w:r w:rsidRPr="00682E50">
        <w:rPr>
          <w:rFonts w:ascii="Aptos" w:hAnsi="Aptos" w:eastAsia="Aptos" w:cs="Aptos"/>
          <w:lang w:val="en-US"/>
        </w:rPr>
        <w:t xml:space="preserve">» est importante, compte tenu des éléments suivants :</w:t>
      </w:r>
    </w:p>
    <w:p w:rsidRPr="00682E50" w:rsidR="00682E50" w:rsidP="00682E50" w:rsidRDefault="00682E50" w14:paraId="51105B20" w14:textId="77777777">
      <w:pPr>
        <w:pStyle w:val="ListParagraph"/>
        <w:numPr>
          <w:ilvl w:val="0"/>
          <w:numId w:val="5"/>
        </w:numPr>
        <w:spacing w:line="240" w:lineRule="auto"/>
        <w:rPr>
          <w:rFonts w:ascii="Aptos" w:hAnsi="Aptos" w:eastAsia="Aptos" w:cs="Aptos"/>
          <w:lang w:val="en-US"/>
        </w:rPr>
      </w:pPr>
      <w:r w:rsidRPr="00682E50">
        <w:rPr>
          <w:rFonts w:ascii="Aptos" w:hAnsi="Aptos" w:eastAsia="Aptos" w:cs="Aptos"/>
          <w:lang w:val="en-US"/>
        </w:rPr>
        <w:t xml:space="preserve">Nous saluons les mentions « Réponse nationale existante, mesures et suivi des saisies » et « Communication des données nationales » ; toutefois, nous estimons qu’il conviendrait de faire référence à la communication d’informations sur les stocks et la gestion de ceux-ci, compte tenu à la fois du rôle des stocks d’ivoire dans l’alimentation du commerce illégal, tel qu’il est documenté, et des problèmes liés à l’absence de communication d’informations sur les stocks d’ivoire évoqués dans le document 56. </w:t>
      </w:r>
    </w:p>
    <w:p w:rsidRPr="00682E50" w:rsidR="00682E50" w:rsidP="00682E50" w:rsidRDefault="00682E50" w14:paraId="7B84B9EE" w14:textId="77777777">
      <w:pPr>
        <w:pStyle w:val="ListParagraph"/>
        <w:numPr>
          <w:ilvl w:val="0"/>
          <w:numId w:val="5"/>
        </w:numPr>
        <w:spacing w:line="240" w:lineRule="auto"/>
        <w:rPr>
          <w:rFonts w:ascii="Aptos" w:hAnsi="Aptos" w:eastAsia="Aptos" w:cs="Aptos"/>
          <w:lang w:val="en-US"/>
        </w:rPr>
      </w:pPr>
      <w:r w:rsidRPr="00682E50">
        <w:rPr>
          <w:rFonts w:ascii="Aptos" w:hAnsi="Aptos" w:eastAsia="Aptos" w:cs="Aptos"/>
          <w:lang w:val="en-US"/>
        </w:rPr>
        <w:t xml:space="preserve">Nous craignons que la formulation « Autres considérations spécifiques aux Parties » ne soit trop vague et nous préconisons de la rendre plus précise. </w:t>
      </w:r>
    </w:p>
    <w:p w:rsidR="00682E50" w:rsidP="00682E50" w:rsidRDefault="00682E50" w14:paraId="2DDDE177" w14:textId="77777777">
      <w:pPr>
        <w:spacing w:line="240" w:lineRule="auto"/>
        <w:rPr>
          <w:rFonts w:ascii="Aptos" w:hAnsi="Aptos" w:eastAsia="Aptos" w:cs="Aptos"/>
          <w:color w:val="BFBFBF" w:themeColor="background1" w:themeShade="BF"/>
        </w:rPr>
      </w:pPr>
    </w:p>
    <w:p w:rsidRPr="00682E50" w:rsidR="00682E50" w:rsidP="00682E50" w:rsidRDefault="00682E50" w14:paraId="61ACAD3D" w14:textId="77777777">
      <w:pPr>
        <w:spacing w:line="240" w:lineRule="auto"/>
        <w:rPr>
          <w:rFonts w:ascii="Aptos" w:hAnsi="Aptos" w:eastAsia="Aptos" w:cs="Aptos"/>
          <w:color w:val="BFBFBF" w:themeColor="background1" w:themeShade="BF"/>
        </w:rPr>
      </w:pPr>
    </w:p>
    <w:p w:rsidR="00682E50" w:rsidP="00682E50" w:rsidRDefault="00682E50" w14:paraId="341F4B67" w14:textId="1726C22C">
      <w:pPr>
        <w:pStyle w:val="Heading1"/>
        <w:rPr>
          <w:rFonts w:ascii="Aptos" w:hAnsi="Aptos"/>
          <w:sz w:val="22"/>
          <w:szCs w:val="22"/>
        </w:rPr>
      </w:pPr>
      <w:bookmarkStart w:name="_36:_Review_of" w:id="80"/>
      <w:bookmarkStart w:name="_Review_of_trade" w:id="81"/>
      <w:bookmarkStart w:name="_Toc242564009" w:id="82"/>
      <w:bookmarkEnd w:id="80"/>
      <w:r w:rsidRPr="00682E50">
        <w:rPr>
          <w:rFonts w:ascii="Aptos" w:hAnsi="Aptos"/>
          <w:sz w:val="22"/>
          <w:szCs w:val="22"/>
        </w:rPr>
        <w:t xml:space="preserve">36 </w:t>
      </w:r>
      <w:r>
        <w:rPr>
          <w:rFonts w:ascii="Aptos" w:hAnsi="Aptos"/>
          <w:sz w:val="22"/>
          <w:szCs w:val="22"/>
        </w:rPr>
        <w:t xml:space="preserve">: </w:t>
      </w:r>
      <w:r w:rsidRPr="00682E50">
        <w:rPr>
          <w:rFonts w:ascii="Aptos" w:hAnsi="Aptos"/>
          <w:sz w:val="22"/>
          <w:szCs w:val="22"/>
        </w:rPr>
        <w:t xml:space="preserve">Examen du commerce des spécimens d’animaux déclarés comme ayant été produits en captivité [Résolution Conf. 17.7 (Rev. CoP20)]</w:t>
      </w:r>
      <w:bookmarkEnd w:id="81"/>
      <w:bookmarkEnd w:id="82"/>
    </w:p>
    <w:p w:rsidRPr="00682E50" w:rsidR="00682E50" w:rsidP="00682E50" w:rsidRDefault="00682E50" w14:paraId="5DA585AD" w14:textId="77777777"/>
    <w:p w:rsidRPr="00682E50" w:rsidR="00682E50" w:rsidP="00682E50" w:rsidRDefault="00682E50" w14:paraId="2F9C7899" w14:textId="05DFE0BB">
      <w:pPr>
        <w:pStyle w:val="Heading1"/>
        <w:rPr>
          <w:rStyle w:val="Hyperlink"/>
          <w:rFonts w:ascii="Aptos" w:hAnsi="Aptos"/>
          <w:sz w:val="22"/>
          <w:szCs w:val="22"/>
        </w:rPr>
      </w:pPr>
      <w:bookmarkStart w:name="_36.1:_Overview_of" w:id="83"/>
      <w:bookmarkStart w:name="_Toc242564010" w:id="84"/>
      <w:bookmarkEnd w:id="83"/>
      <w:r>
        <w:rPr>
          <w:rFonts w:ascii="Aptos" w:hAnsi="Aptos"/>
          <w:sz w:val="22"/>
          <w:szCs w:val="22"/>
        </w:rPr>
        <w:t xml:space="preserve">36.1 : </w:t>
      </w:r>
      <w:hyperlink r:id="rId41">
        <w:r w:rsidRPr="00682E50">
          <w:rPr>
            <w:rStyle w:val="Hyperlink"/>
            <w:rFonts w:ascii="Aptos" w:hAnsi="Aptos"/>
            <w:sz w:val="22"/>
            <w:szCs w:val="22"/>
          </w:rPr>
          <w:t xml:space="preserve">Aperçu de l’examen du commerce des spécimens d’animaux déclarés comme ayant été produits en captivité</w:t>
        </w:r>
        <w:bookmarkEnd w:id="84"/>
      </w:hyperlink>
    </w:p>
    <w:p w:rsidR="00682E50" w:rsidP="00682E50" w:rsidRDefault="00682E50" w14:paraId="331A3AD2" w14:textId="77777777">
      <w:pPr>
        <w:spacing w:line="240" w:lineRule="auto"/>
        <w:rPr>
          <w:rFonts w:ascii="Aptos" w:hAnsi="Aptos" w:eastAsia="Aptos" w:cs="Aptos"/>
          <w:color w:val="231F20"/>
          <w:lang w:val="en-US"/>
        </w:rPr>
      </w:pPr>
    </w:p>
    <w:p w:rsidR="00682E50" w:rsidP="00682E50" w:rsidRDefault="00682E50" w14:paraId="20CB58AE" w14:textId="5ABF932F">
      <w:pPr>
        <w:spacing w:line="240" w:lineRule="auto"/>
        <w:rPr>
          <w:rFonts w:ascii="Aptos" w:hAnsi="Aptos" w:eastAsia="Aptos" w:cs="Aptos"/>
          <w:color w:val="231F20"/>
          <w:lang w:val="en-US"/>
        </w:rPr>
      </w:pPr>
      <w:r w:rsidRPr="5403C073">
        <w:rPr>
          <w:rFonts w:ascii="Aptos" w:hAnsi="Aptos" w:eastAsia="Aptos" w:cs="Aptos"/>
          <w:color w:val="231F20"/>
          <w:lang w:val="en-US"/>
        </w:rPr>
        <w:t xml:space="preserve">Nous prenons note des exportations par Cuba des espèces suivantes, dont plusieurs sont endémiques : </w:t>
      </w:r>
    </w:p>
    <w:p w:rsidRPr="00682E50" w:rsidR="00682E50" w:rsidP="00682E50" w:rsidRDefault="00682E50" w14:paraId="4EA1D01A" w14:textId="77777777">
      <w:pPr>
        <w:spacing w:line="240" w:lineRule="auto"/>
        <w:rPr>
          <w:rFonts w:ascii="Aptos" w:hAnsi="Aptos" w:eastAsia="Aptos" w:cs="Aptos"/>
          <w:color w:val="231F20"/>
          <w:lang w:val="en-US"/>
        </w:rPr>
      </w:pPr>
    </w:p>
    <w:p w:rsidRPr="00682E50" w:rsidR="00682E50" w:rsidP="00682E50" w:rsidRDefault="00682E50" w14:paraId="3415CF8C"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Agapornis fischeri </w:t>
      </w:r>
      <w:r w:rsidRPr="00682E50">
        <w:rPr>
          <w:rFonts w:ascii="Aptos" w:hAnsi="Aptos" w:eastAsia="Aptos" w:cs="Aptos"/>
          <w:color w:val="231F20"/>
          <w:lang w:val="en-US"/>
        </w:rPr>
        <w:t xml:space="preserve">(inséparable de Fischer), un perroquet d’Afrique de l’Est</w:t>
      </w:r>
    </w:p>
    <w:p w:rsidRPr="00682E50" w:rsidR="00682E50" w:rsidP="00682E50" w:rsidRDefault="00682E50" w14:paraId="43C7FA83"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Aratinga </w:t>
      </w:r>
      <w:r w:rsidRPr="00682E50">
        <w:rPr>
          <w:rFonts w:ascii="Aptos" w:hAnsi="Aptos" w:eastAsia="Aptos" w:cs="Aptos"/>
          <w:i/>
          <w:iCs/>
          <w:color w:val="231F20"/>
          <w:lang w:val="en-US"/>
        </w:rPr>
        <w:t xml:space="preserve">solstitialis </w:t>
      </w:r>
      <w:r w:rsidRPr="00682E50">
        <w:rPr>
          <w:rFonts w:ascii="Aptos" w:hAnsi="Aptos" w:eastAsia="Aptos" w:cs="Aptos"/>
          <w:color w:val="231F20"/>
          <w:lang w:val="en-US"/>
        </w:rPr>
        <w:t xml:space="preserve">(conure du Soleil), un perroquet originaire du nord-est de l’Amérique du Sud </w:t>
      </w:r>
    </w:p>
    <w:p w:rsidRPr="00682E50" w:rsidR="00682E50" w:rsidP="00682E50" w:rsidRDefault="00682E50" w14:paraId="69E24675"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Neophema </w:t>
      </w:r>
      <w:r w:rsidRPr="00682E50">
        <w:rPr>
          <w:rFonts w:ascii="Aptos" w:hAnsi="Aptos" w:eastAsia="Aptos" w:cs="Aptos"/>
          <w:i/>
          <w:iCs/>
          <w:color w:val="231F20"/>
          <w:lang w:val="en-US"/>
        </w:rPr>
        <w:t xml:space="preserve">splendida </w:t>
      </w:r>
      <w:r w:rsidRPr="00682E50">
        <w:rPr>
          <w:rFonts w:ascii="Aptos" w:hAnsi="Aptos" w:eastAsia="Aptos" w:cs="Aptos"/>
          <w:color w:val="231F20"/>
          <w:lang w:val="en-US"/>
        </w:rPr>
        <w:t xml:space="preserve">(perroquet à poitrine écarlate), originaire d’Australie [endémique]</w:t>
      </w:r>
    </w:p>
    <w:p w:rsidRPr="00682E50" w:rsidR="00682E50" w:rsidP="00682E50" w:rsidRDefault="00682E50" w14:paraId="28B5F2A9"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Neopsephotus </w:t>
      </w:r>
      <w:r w:rsidRPr="00682E50">
        <w:rPr>
          <w:rFonts w:ascii="Aptos" w:hAnsi="Aptos" w:eastAsia="Aptos" w:cs="Aptos"/>
          <w:i/>
          <w:iCs/>
          <w:color w:val="231F20"/>
          <w:lang w:val="en-US"/>
        </w:rPr>
        <w:t xml:space="preserve">bourkii </w:t>
      </w:r>
      <w:r w:rsidRPr="00682E50">
        <w:rPr>
          <w:rFonts w:ascii="Aptos" w:hAnsi="Aptos" w:eastAsia="Aptos" w:cs="Aptos"/>
          <w:color w:val="231F20"/>
          <w:lang w:val="en-US"/>
        </w:rPr>
        <w:t xml:space="preserve">(perroquet de Bourke), originaire d’Australie [endémique]</w:t>
      </w:r>
    </w:p>
    <w:p w:rsidRPr="00682E50" w:rsidR="00682E50" w:rsidP="00682E50" w:rsidRDefault="00682E50" w14:paraId="672B1668"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Platycercus </w:t>
      </w:r>
      <w:r w:rsidRPr="00682E50">
        <w:rPr>
          <w:rFonts w:ascii="Aptos" w:hAnsi="Aptos" w:eastAsia="Aptos" w:cs="Aptos"/>
          <w:i/>
          <w:iCs/>
          <w:color w:val="231F20"/>
          <w:lang w:val="en-US"/>
        </w:rPr>
        <w:t xml:space="preserve">eximius </w:t>
      </w:r>
      <w:r w:rsidRPr="00682E50">
        <w:rPr>
          <w:rFonts w:ascii="Aptos" w:hAnsi="Aptos" w:eastAsia="Aptos" w:cs="Aptos"/>
          <w:color w:val="231F20"/>
          <w:lang w:val="en-US"/>
        </w:rPr>
        <w:t xml:space="preserve">(rosella de l’Est), originaire d’Australie [endémique]</w:t>
      </w:r>
    </w:p>
    <w:p w:rsidRPr="00682E50" w:rsidR="00682E50" w:rsidP="00682E50" w:rsidRDefault="00682E50" w14:paraId="7B078BE3" w14:textId="77777777">
      <w:pPr>
        <w:pStyle w:val="ListParagraph"/>
        <w:numPr>
          <w:ilvl w:val="0"/>
          <w:numId w:val="4"/>
        </w:numPr>
        <w:spacing w:line="240" w:lineRule="auto"/>
        <w:rPr>
          <w:rFonts w:ascii="Aptos" w:hAnsi="Aptos" w:eastAsia="Aptos" w:cs="Aptos"/>
          <w:color w:val="231F20"/>
          <w:lang w:val="en-US"/>
        </w:rPr>
      </w:pPr>
      <w:r w:rsidRPr="00682E50">
        <w:rPr>
          <w:rFonts w:ascii="Aptos" w:hAnsi="Aptos" w:eastAsia="Aptos" w:cs="Aptos"/>
          <w:i/>
          <w:iCs/>
          <w:color w:val="231F20"/>
          <w:lang w:val="en-US"/>
        </w:rPr>
        <w:t xml:space="preserve">Psephotus </w:t>
      </w:r>
      <w:r w:rsidRPr="00682E50">
        <w:rPr>
          <w:rFonts w:ascii="Aptos" w:hAnsi="Aptos" w:eastAsia="Aptos" w:cs="Aptos"/>
          <w:i/>
          <w:iCs/>
          <w:color w:val="231F20"/>
          <w:lang w:val="en-US"/>
        </w:rPr>
        <w:t xml:space="preserve">haematonotus </w:t>
      </w:r>
      <w:r w:rsidRPr="00682E50">
        <w:rPr>
          <w:rFonts w:ascii="Aptos" w:hAnsi="Aptos" w:eastAsia="Aptos" w:cs="Aptos"/>
          <w:color w:val="231F20"/>
          <w:lang w:val="en-US"/>
        </w:rPr>
        <w:t xml:space="preserve">(perroquet à croupion rouge), originaire d'Australie [endémique]</w:t>
      </w:r>
    </w:p>
    <w:p w:rsidRPr="00682E50" w:rsidR="00682E50" w:rsidP="00682E50" w:rsidRDefault="00682E50" w14:paraId="6B8E8A2F" w14:textId="77777777">
      <w:pPr>
        <w:spacing w:line="240" w:lineRule="auto"/>
        <w:rPr>
          <w:rFonts w:ascii="Aptos" w:hAnsi="Aptos" w:eastAsia="Aptos" w:cs="Aptos"/>
          <w:color w:val="231F20"/>
          <w:lang w:val="en-US"/>
        </w:rPr>
      </w:pPr>
    </w:p>
    <w:p w:rsidRPr="00682E50" w:rsidR="00682E50" w:rsidP="00682E50" w:rsidRDefault="00682E50" w14:paraId="56581D8A" w14:textId="30B95A73">
      <w:pPr>
        <w:spacing w:line="240" w:lineRule="auto"/>
        <w:rPr>
          <w:rFonts w:ascii="Aptos" w:hAnsi="Aptos"/>
        </w:rPr>
      </w:pPr>
      <w:r w:rsidRPr="00682E50">
        <w:rPr>
          <w:rFonts w:ascii="Aptos" w:hAnsi="Aptos" w:eastAsia="Aptos" w:cs="Aptos"/>
          <w:color w:val="231F20"/>
          <w:lang w:val="en-US"/>
        </w:rPr>
        <w:t xml:space="preserve">Bien que </w:t>
      </w:r>
      <w:r w:rsidRPr="00682E50">
        <w:rPr>
          <w:rFonts w:ascii="Aptos" w:hAnsi="Aptos" w:eastAsia="Aptos" w:cs="Aptos"/>
          <w:i/>
          <w:iCs/>
          <w:color w:val="231F20"/>
          <w:lang w:val="en-US"/>
        </w:rPr>
        <w:t xml:space="preserve">certaines </w:t>
      </w:r>
      <w:r w:rsidRPr="00682E50">
        <w:rPr>
          <w:rFonts w:ascii="Aptos" w:hAnsi="Aptos" w:eastAsia="Aptos" w:cs="Aptos"/>
          <w:color w:val="231F20"/>
          <w:lang w:val="en-US"/>
        </w:rPr>
        <w:t xml:space="preserve">de ces espèces (ou leurs proches parents) fassent l'objet d'un commerce régulier dans d'autres régions du monde, ce qui laisse supposer que certaines d'entre elles peuvent se reproduire en captivité, il reste nécessaire de s'assurer que les individus constituant le cheptel fondateur ont été prélevés légalement dans la nature et que leurs descendants ont été exportés légalement vers des centres d'élevage en captivité à Cuba. Nous recommandons que le Comité de survie (SC) demande </w:t>
      </w:r>
      <w:r w:rsidRPr="00682E50">
        <w:rPr>
          <w:rFonts w:ascii="Aptos" w:hAnsi="Aptos" w:eastAsia="Aptos" w:cs="Aptos"/>
          <w:color w:val="231F20"/>
          <w:lang w:val="en-US"/>
        </w:rPr>
        <w:t xml:space="preserve">à Cuba </w:t>
      </w:r>
      <w:r w:rsidRPr="00682E50">
        <w:rPr>
          <w:rFonts w:ascii="Aptos" w:hAnsi="Aptos" w:eastAsia="Aptos" w:cs="Aptos"/>
          <w:color w:val="231F20"/>
          <w:lang w:val="en-US"/>
        </w:rPr>
        <w:t xml:space="preserve">des informations complémentaires</w:t>
      </w:r>
      <w:r w:rsidRPr="00682E50">
        <w:rPr>
          <w:rFonts w:ascii="Aptos" w:hAnsi="Aptos" w:eastAsia="Aptos" w:cs="Aptos"/>
          <w:color w:val="231F20"/>
          <w:lang w:val="en-US"/>
        </w:rPr>
        <w:lastRenderedPageBreak/>
      </w:r>
      <w:r w:rsidRPr="00682E50">
        <w:rPr>
          <w:rFonts w:ascii="Aptos" w:hAnsi="Aptos" w:eastAsia="Aptos" w:cs="Aptos"/>
          <w:color w:val="231F20"/>
          <w:lang w:val="en-US"/>
        </w:rPr>
        <w:t xml:space="preserve"> concernant la nature de ces installations, les origines génétiques de leurs souches reproductrices, l’origine des souches fondatrices, ainsi que toute documentation relative à l’importation. </w:t>
      </w:r>
    </w:p>
    <w:p w:rsidRPr="00682E50" w:rsidR="00682E50" w:rsidP="00682E50" w:rsidRDefault="00682E50" w14:paraId="0D7229B4" w14:textId="77777777">
      <w:pPr>
        <w:spacing w:line="240" w:lineRule="auto"/>
        <w:rPr>
          <w:rFonts w:ascii="Aptos" w:hAnsi="Aptos" w:eastAsia="Aptos" w:cs="Aptos"/>
          <w:b/>
          <w:bCs/>
          <w:color w:val="231F20"/>
        </w:rPr>
      </w:pPr>
    </w:p>
    <w:p w:rsidRPr="00682E50" w:rsidR="00682E50" w:rsidP="00682E50" w:rsidRDefault="00395EA8" w14:paraId="6FB68773" w14:textId="409EF181">
      <w:pPr>
        <w:pStyle w:val="Heading"/>
        <w:rPr>
          <w:color w:val="231F20"/>
        </w:rPr>
      </w:pPr>
      <w:r>
        <w:t xml:space="preserve">36.2 : </w:t>
      </w:r>
      <w:hyperlink r:id="rId42">
        <w:r w:rsidRPr="00682E50" w:rsidR="00682E50">
          <w:rPr>
            <w:rStyle w:val="Hyperlink"/>
          </w:rPr>
          <w:t xml:space="preserve">Mise en œuvre des recommandations du Comité pour les animaux</w:t>
        </w:r>
      </w:hyperlink>
    </w:p>
    <w:p w:rsidR="00682E50" w:rsidP="00682E50" w:rsidRDefault="00682E50" w14:paraId="2A4F53E7" w14:textId="77777777">
      <w:pPr>
        <w:spacing w:line="240" w:lineRule="auto"/>
        <w:rPr>
          <w:rFonts w:ascii="Aptos" w:hAnsi="Aptos" w:eastAsia="Aptos" w:cs="Aptos"/>
          <w:lang w:val="en-US"/>
        </w:rPr>
      </w:pPr>
    </w:p>
    <w:p w:rsidR="00682E50" w:rsidP="00682E50" w:rsidRDefault="00682E50" w14:paraId="37C1C247" w14:textId="77777777">
      <w:pPr>
        <w:spacing w:line="240" w:lineRule="auto"/>
        <w:rPr>
          <w:rFonts w:ascii="Aptos" w:hAnsi="Aptos" w:eastAsia="Aptos" w:cs="Aptos"/>
          <w:lang w:val="en-US"/>
        </w:rPr>
      </w:pPr>
      <w:r w:rsidRPr="00682E50">
        <w:rPr>
          <w:rFonts w:ascii="Aptos" w:hAnsi="Aptos" w:eastAsia="Aptos" w:cs="Aptos"/>
          <w:lang w:val="en-US"/>
        </w:rPr>
        <w:t xml:space="preserve">Nous apprécions les informations détaillées fournies par le Secrétariat concernant les cas sélectionnés par le Comité pour les animaux en vue de l’examen du commerce des spécimens d’animaux d’espèces déclarées comme étant produites en captivité. Il s’agit d’une question importante, car elle touche directement au respect de la Convention CITES, en particulier de son article IV. </w:t>
      </w:r>
    </w:p>
    <w:p w:rsidR="00682E50" w:rsidP="00682E50" w:rsidRDefault="00682E50" w14:paraId="7E57ED63" w14:textId="77777777">
      <w:pPr>
        <w:spacing w:line="240" w:lineRule="auto"/>
        <w:rPr>
          <w:rFonts w:ascii="Aptos" w:hAnsi="Aptos" w:eastAsia="Aptos" w:cs="Aptos"/>
          <w:lang w:val="en-US"/>
        </w:rPr>
      </w:pPr>
    </w:p>
    <w:p w:rsidR="00682E50" w:rsidP="00682E50" w:rsidRDefault="00682E50" w14:paraId="4877354C" w14:textId="1F46E8A6">
      <w:pPr>
        <w:spacing w:line="240" w:lineRule="auto"/>
        <w:rPr>
          <w:rFonts w:ascii="Aptos" w:hAnsi="Aptos" w:eastAsia="Aptos" w:cs="Aptos"/>
        </w:rPr>
      </w:pPr>
      <w:r w:rsidRPr="00682E50">
        <w:rPr>
          <w:rFonts w:ascii="Aptos" w:hAnsi="Aptos" w:eastAsia="Aptos" w:cs="Aptos"/>
          <w:lang w:val="en-US"/>
        </w:rPr>
        <w:t xml:space="preserve">Nous soutenons globalement les recommandations du Comité pour les animaux et du Secrétariat, telles qu’elles figurent dans le document, avec les ajouts suivants :  </w:t>
      </w:r>
    </w:p>
    <w:p w:rsidRPr="00682E50" w:rsidR="00682E50" w:rsidP="00682E50" w:rsidRDefault="00682E50" w14:paraId="02EDF94A" w14:textId="77777777">
      <w:pPr>
        <w:spacing w:line="240" w:lineRule="auto"/>
        <w:rPr>
          <w:rFonts w:ascii="Aptos" w:hAnsi="Aptos"/>
        </w:rPr>
      </w:pPr>
    </w:p>
    <w:p w:rsidRPr="00682E50" w:rsidR="00682E50" w:rsidP="00682E50" w:rsidRDefault="00682E50" w14:paraId="20447B74" w14:textId="77777777">
      <w:pPr>
        <w:pStyle w:val="ListParagraph"/>
        <w:numPr>
          <w:ilvl w:val="0"/>
          <w:numId w:val="10"/>
        </w:numPr>
        <w:spacing w:line="240" w:lineRule="auto"/>
        <w:ind w:start="720"/>
        <w:rPr>
          <w:rFonts w:ascii="Aptos" w:hAnsi="Aptos" w:eastAsia="Aptos" w:cs="Aptos"/>
          <w:lang w:val="en-US"/>
        </w:rPr>
      </w:pPr>
      <w:r w:rsidRPr="00682E50">
        <w:rPr>
          <w:rFonts w:ascii="Aptos" w:hAnsi="Aptos" w:eastAsia="Aptos" w:cs="Aptos"/>
          <w:lang w:val="en-US"/>
        </w:rPr>
        <w:t xml:space="preserve">En ce qui concerne </w:t>
      </w:r>
      <w:r w:rsidRPr="00682E50">
        <w:rPr>
          <w:rFonts w:ascii="Aptos" w:hAnsi="Aptos" w:eastAsia="Aptos" w:cs="Aptos"/>
          <w:i/>
          <w:iCs/>
          <w:lang w:val="en-US"/>
        </w:rPr>
        <w:t xml:space="preserve">Testudo </w:t>
      </w:r>
      <w:r w:rsidRPr="00682E50">
        <w:rPr>
          <w:rFonts w:ascii="Aptos" w:hAnsi="Aptos" w:eastAsia="Aptos" w:cs="Aptos"/>
          <w:i/>
          <w:iCs/>
          <w:lang w:val="en-US"/>
        </w:rPr>
        <w:t xml:space="preserve">graeca</w:t>
      </w:r>
      <w:r w:rsidRPr="00682E50">
        <w:rPr>
          <w:rFonts w:ascii="Aptos" w:hAnsi="Aptos" w:eastAsia="Aptos" w:cs="Aptos"/>
          <w:lang w:val="en-US"/>
        </w:rPr>
        <w:t xml:space="preserve">, la recommandation est d’exclure </w:t>
      </w:r>
      <w:r w:rsidRPr="00682E50">
        <w:rPr>
          <w:rFonts w:ascii="Aptos" w:hAnsi="Aptos" w:eastAsia="Aptos" w:cs="Aptos"/>
          <w:lang w:val="en-US"/>
        </w:rPr>
        <w:t xml:space="preserve">de l’examen les spécimens de</w:t>
      </w:r>
      <w:r w:rsidRPr="00682E50">
        <w:rPr>
          <w:rFonts w:ascii="Aptos" w:hAnsi="Aptos" w:eastAsia="Aptos" w:cs="Aptos"/>
          <w:i/>
          <w:iCs/>
          <w:lang w:val="en-US"/>
        </w:rPr>
        <w:t xml:space="preserve"> Testudo </w:t>
      </w:r>
      <w:r w:rsidRPr="00682E50">
        <w:rPr>
          <w:rFonts w:ascii="Aptos" w:hAnsi="Aptos" w:eastAsia="Aptos" w:cs="Aptos"/>
          <w:i/>
          <w:iCs/>
          <w:lang w:val="en-US"/>
        </w:rPr>
        <w:t xml:space="preserve">graeca </w:t>
      </w:r>
      <w:r w:rsidRPr="00682E50">
        <w:rPr>
          <w:rFonts w:ascii="Aptos" w:hAnsi="Aptos" w:eastAsia="Aptos" w:cs="Aptos"/>
          <w:lang w:val="en-US"/>
        </w:rPr>
        <w:t xml:space="preserve">provenant de Jordanie, et de demander à la Jordanie de ne pas autoriser la reprise des exportations commerciales de l’espèce déclarée comme étant élevée en captivité sans en avoir préalablement informé le Secrétariat. Nous craignons que des spécimens d’origine douteuse puissent être exportés sur simple notification au Secrétariat, et que le délai nécessaire pour alerter le Comité pour les animaux (AC), le Comité de sauvegarde (SC) et les Parties soit trop long. Nous recommandons plutôt que la Jordanie soit invitée à informer le Comité des animaux et le Secrétariat de son intention d’exporter l’espèce, avant le début de toute exportation, et que le Comité des animaux examine la situation.</w:t>
      </w:r>
    </w:p>
    <w:p w:rsidRPr="00682E50" w:rsidR="00682E50" w:rsidP="00682E50" w:rsidRDefault="00682E50" w14:paraId="7E40D89E" w14:textId="77777777">
      <w:pPr>
        <w:pStyle w:val="ListParagraph"/>
        <w:numPr>
          <w:ilvl w:val="0"/>
          <w:numId w:val="10"/>
        </w:numPr>
        <w:spacing w:line="240" w:lineRule="auto"/>
        <w:ind w:start="720"/>
        <w:rPr>
          <w:rFonts w:ascii="Aptos" w:hAnsi="Aptos" w:eastAsia="Aptos" w:cs="Aptos"/>
          <w:lang w:val="en-US"/>
        </w:rPr>
      </w:pPr>
      <w:r w:rsidRPr="00682E50">
        <w:rPr>
          <w:rFonts w:ascii="Aptos" w:hAnsi="Aptos" w:eastAsia="Aptos" w:cs="Aptos"/>
          <w:lang w:val="en-US"/>
        </w:rPr>
        <w:t xml:space="preserve">En ce qui concerne </w:t>
      </w:r>
      <w:r w:rsidRPr="00682E50">
        <w:rPr>
          <w:rFonts w:ascii="Aptos" w:hAnsi="Aptos" w:eastAsia="Aptos" w:cs="Aptos"/>
          <w:i/>
          <w:iCs/>
          <w:lang w:val="en-US"/>
        </w:rPr>
        <w:t xml:space="preserve">Testudo </w:t>
      </w:r>
      <w:r w:rsidRPr="00682E50">
        <w:rPr>
          <w:rFonts w:ascii="Aptos" w:hAnsi="Aptos" w:eastAsia="Aptos" w:cs="Aptos"/>
          <w:i/>
          <w:iCs/>
          <w:lang w:val="en-US"/>
        </w:rPr>
        <w:t xml:space="preserve">kleinmanni</w:t>
      </w:r>
      <w:r w:rsidRPr="00682E50">
        <w:rPr>
          <w:rFonts w:ascii="Aptos" w:hAnsi="Aptos" w:eastAsia="Aptos" w:cs="Aptos"/>
          <w:lang w:val="en-US"/>
        </w:rPr>
        <w:t xml:space="preserve">, nous notons que l’Égypte est « invitée » à maintenir des quotas d’exportation nuls pour toutes les sources, tandis que la République arabe syrienne est « priée » de publier des quotas d’exportation nuls pour toutes les sources. Nous recommandons d’utiliser le terme « prier » dans les deux cas, par souci de cohérence.</w:t>
      </w:r>
    </w:p>
    <w:p w:rsidR="00682E50" w:rsidP="00682E50" w:rsidRDefault="00682E50" w14:paraId="18C3308B" w14:textId="77777777">
      <w:pPr>
        <w:spacing w:line="240" w:lineRule="auto"/>
        <w:rPr>
          <w:rFonts w:ascii="Aptos" w:hAnsi="Aptos" w:eastAsia="Aptos" w:cs="Aptos"/>
          <w:b/>
          <w:bCs/>
          <w:color w:val="231F20"/>
        </w:rPr>
      </w:pPr>
    </w:p>
    <w:p w:rsidRPr="00682E50" w:rsidR="00682E50" w:rsidP="00682E50" w:rsidRDefault="00682E50" w14:paraId="565F907A" w14:textId="77777777">
      <w:pPr>
        <w:spacing w:line="240" w:lineRule="auto"/>
        <w:rPr>
          <w:rFonts w:ascii="Aptos" w:hAnsi="Aptos" w:eastAsia="Aptos" w:cs="Aptos"/>
          <w:b/>
          <w:bCs/>
          <w:color w:val="231F20"/>
        </w:rPr>
      </w:pPr>
    </w:p>
    <w:p w:rsidRPr="00682E50" w:rsidR="00682E50" w:rsidP="00682E50" w:rsidRDefault="00682E50" w14:paraId="132A03D0" w14:textId="21CEE9C5">
      <w:pPr>
        <w:pStyle w:val="Heading1"/>
        <w:rPr>
          <w:rFonts w:ascii="Aptos" w:hAnsi="Aptos"/>
          <w:sz w:val="22"/>
          <w:szCs w:val="22"/>
        </w:rPr>
      </w:pPr>
      <w:bookmarkStart w:name="_37._Enforcement" w:id="85"/>
      <w:bookmarkStart w:name="_Enforcement_" w:id="86"/>
      <w:bookmarkStart w:name="_37._Enforcement_" w:id="87"/>
      <w:bookmarkStart w:name="_Toc242564011" w:id="88"/>
      <w:bookmarkEnd w:id="85"/>
      <w:r w:rsidRPr="00682E50">
        <w:rPr>
          <w:rFonts w:ascii="Aptos" w:hAnsi="Aptos"/>
          <w:sz w:val="22"/>
          <w:szCs w:val="22"/>
        </w:rPr>
        <w:t xml:space="preserve">37 </w:t>
      </w:r>
      <w:r w:rsidR="00395EA8">
        <w:rPr>
          <w:rFonts w:ascii="Aptos" w:hAnsi="Aptos"/>
          <w:sz w:val="22"/>
          <w:szCs w:val="22"/>
        </w:rPr>
        <w:t xml:space="preserve">:</w:t>
      </w:r>
      <w:bookmarkStart w:name="Enforcement" w:id="89"/>
      <w:r w:rsidRPr="00682E50">
        <w:rPr>
          <w:rFonts w:ascii="Aptos" w:hAnsi="Aptos"/>
          <w:sz w:val="22"/>
          <w:szCs w:val="22"/>
        </w:rPr>
        <w:t xml:space="preserve"> Application de la loi</w:t>
      </w:r>
      <w:bookmarkEnd w:id="86"/>
      <w:bookmarkEnd w:id="87"/>
      <w:bookmarkEnd w:id="88"/>
      <w:bookmarkEnd w:id="89"/>
      <w:r w:rsidRPr="00682E50">
        <w:rPr>
          <w:rFonts w:ascii="Aptos" w:hAnsi="Aptos"/>
          <w:sz w:val="22"/>
          <w:szCs w:val="22"/>
        </w:rPr>
        <w:t xml:space="preserve"> </w:t>
      </w:r>
    </w:p>
    <w:p w:rsidR="00682E50" w:rsidP="00682E50" w:rsidRDefault="00682E50" w14:paraId="40685296" w14:textId="77777777">
      <w:pPr>
        <w:pStyle w:val="Heading1"/>
        <w:rPr>
          <w:rFonts w:ascii="Aptos" w:hAnsi="Aptos"/>
          <w:sz w:val="22"/>
          <w:szCs w:val="22"/>
        </w:rPr>
      </w:pPr>
      <w:bookmarkStart w:name="_37.1._Enforcement_matters" w:id="90"/>
      <w:bookmarkStart w:name="_37.2._International_Consortium" w:id="91"/>
      <w:bookmarkEnd w:id="90"/>
      <w:bookmarkEnd w:id="91"/>
    </w:p>
    <w:p w:rsidRPr="00682E50" w:rsidR="00682E50" w:rsidP="00682E50" w:rsidRDefault="00395EA8" w14:paraId="4DE108B2" w14:textId="32B0CB28">
      <w:pPr>
        <w:pStyle w:val="Heading1"/>
        <w:rPr>
          <w:rFonts w:ascii="Aptos" w:hAnsi="Aptos"/>
          <w:sz w:val="22"/>
          <w:szCs w:val="22"/>
        </w:rPr>
      </w:pPr>
      <w:bookmarkStart w:name="_37.2._International_Consortium_1" w:id="92"/>
      <w:bookmarkStart w:name="_Toc242564012" w:id="93"/>
      <w:bookmarkEnd w:id="92"/>
      <w:r>
        <w:rPr>
          <w:rFonts w:ascii="Aptos" w:hAnsi="Aptos"/>
          <w:sz w:val="22"/>
          <w:szCs w:val="22"/>
        </w:rPr>
        <w:t xml:space="preserve">37.2 :</w:t>
      </w:r>
      <w:hyperlink w:history="1" r:id="rId43">
        <w:bookmarkStart w:name="___2._International" w:id="94"/>
        <w:r w:rsidRPr="00682E50" w:rsidR="00682E50">
          <w:rPr>
            <w:rStyle w:val="Hyperlink"/>
            <w:rFonts w:ascii="Aptos" w:hAnsi="Aptos"/>
            <w:sz w:val="22"/>
            <w:szCs w:val="22"/>
          </w:rPr>
          <w:t xml:space="preserve"> Consortium international de lutte contre la criminalité liée aux espèces sauvages</w:t>
        </w:r>
        <w:bookmarkEnd w:id="93"/>
        <w:bookmarkEnd w:id="94"/>
      </w:hyperlink>
      <w:r w:rsidRPr="00682E50" w:rsidR="00682E50">
        <w:rPr>
          <w:rFonts w:ascii="Aptos" w:hAnsi="Aptos"/>
          <w:sz w:val="22"/>
          <w:szCs w:val="22"/>
        </w:rPr>
        <w:t xml:space="preserve"> </w:t>
      </w:r>
    </w:p>
    <w:p w:rsidR="00682E50" w:rsidP="00682E50" w:rsidRDefault="00682E50" w14:paraId="1CFA2F42" w14:textId="77777777">
      <w:pPr>
        <w:spacing w:line="240" w:lineRule="auto"/>
        <w:rPr>
          <w:rFonts w:ascii="Aptos" w:hAnsi="Aptos" w:eastAsia="Aptos" w:cs="Aptos"/>
          <w:lang w:val="en-US"/>
        </w:rPr>
      </w:pPr>
    </w:p>
    <w:p w:rsidRPr="00682E50" w:rsidR="00682E50" w:rsidP="00682E50" w:rsidRDefault="00682E50" w14:paraId="4D176F1A" w14:textId="2F02E439">
      <w:pPr>
        <w:spacing w:line="240" w:lineRule="auto"/>
        <w:rPr>
          <w:rFonts w:ascii="Aptos" w:hAnsi="Aptos" w:eastAsia="Aptos" w:cs="Aptos"/>
          <w:lang w:val="en-US"/>
        </w:rPr>
      </w:pPr>
      <w:r w:rsidRPr="00682E50">
        <w:rPr>
          <w:rFonts w:ascii="Aptos" w:hAnsi="Aptos" w:eastAsia="Aptos" w:cs="Aptos"/>
          <w:lang w:val="en-US"/>
        </w:rPr>
        <w:t xml:space="preserve">La WCS prend note du document préparé par le Secrétariat en coopération avec les partenaires de l’ICCWC et se félicite de la mise à jour concernant les activités menées par l’ICCWC. La WCS collabore avec un certain nombre de partenaires de l’ICCWC dans le cadre de ses programmes nationaux et a soutenu les efforts visant à mettre en œuvre le cadre d’indicateurs dans plusieurs d’entre eux, notamment en République démocratique populaire du Laos, où une évaluation actualisée du cadre d’indicateurs a récemment été achevée dans le cadre du projet GUARD de l’UE.</w:t>
      </w:r>
    </w:p>
    <w:p w:rsidRPr="00682E50" w:rsidR="00682E50" w:rsidP="00682E50" w:rsidRDefault="00682E50" w14:paraId="170E1B81" w14:textId="77777777">
      <w:pPr>
        <w:spacing w:line="240" w:lineRule="auto"/>
        <w:rPr>
          <w:rFonts w:ascii="Aptos" w:hAnsi="Aptos" w:eastAsia="Aptos" w:cs="Aptos"/>
        </w:rPr>
      </w:pPr>
      <w:bookmarkStart w:name="_37.3._Wildlife_crime" w:id="95"/>
      <w:bookmarkEnd w:id="95"/>
    </w:p>
    <w:p w:rsidRPr="00682E50" w:rsidR="00682E50" w:rsidP="00682E50" w:rsidRDefault="00395EA8" w14:paraId="1341DC4A" w14:textId="4DC44903">
      <w:pPr>
        <w:pStyle w:val="Heading1"/>
        <w:rPr>
          <w:rFonts w:ascii="Aptos" w:hAnsi="Aptos"/>
          <w:sz w:val="22"/>
          <w:szCs w:val="22"/>
        </w:rPr>
      </w:pPr>
      <w:bookmarkStart w:name="_37.3_Wildlife_crime" w:id="96"/>
      <w:bookmarkStart w:name="_Toc242564013" w:id="97"/>
      <w:bookmarkEnd w:id="96"/>
      <w:r>
        <w:rPr>
          <w:rFonts w:ascii="Aptos" w:hAnsi="Aptos"/>
          <w:sz w:val="22"/>
          <w:szCs w:val="22"/>
        </w:rPr>
        <w:t xml:space="preserve">37.3 :</w:t>
      </w:r>
      <w:hyperlink r:id="rId44">
        <w:bookmarkStart w:name="___3._Wildlife" w:id="98"/>
        <w:r w:rsidRPr="00682E50" w:rsidR="00682E50">
          <w:rPr>
            <w:rStyle w:val="Hyperlink"/>
            <w:rFonts w:ascii="Aptos" w:hAnsi="Aptos"/>
            <w:sz w:val="22"/>
            <w:szCs w:val="22"/>
          </w:rPr>
          <w:t xml:space="preserve"> Criminalité liée aux espèces sauvages sur Internet (Décision 20.62)</w:t>
        </w:r>
        <w:bookmarkEnd w:id="97"/>
        <w:bookmarkEnd w:id="98"/>
      </w:hyperlink>
      <w:r w:rsidRPr="00682E50" w:rsidR="00682E50">
        <w:rPr>
          <w:rFonts w:ascii="Aptos" w:hAnsi="Aptos"/>
          <w:sz w:val="22"/>
          <w:szCs w:val="22"/>
        </w:rPr>
        <w:t xml:space="preserve"> </w:t>
      </w:r>
    </w:p>
    <w:p w:rsidR="00682E50" w:rsidP="00682E50" w:rsidRDefault="00682E50" w14:paraId="5463045A" w14:textId="77777777">
      <w:pPr>
        <w:spacing w:line="240" w:lineRule="auto"/>
        <w:rPr>
          <w:rFonts w:ascii="Aptos" w:hAnsi="Aptos" w:eastAsia="Aptos" w:cs="Aptos"/>
          <w:lang w:val="en-US"/>
        </w:rPr>
      </w:pPr>
    </w:p>
    <w:p w:rsidRPr="00682E50" w:rsidR="00682E50" w:rsidP="00682E50" w:rsidRDefault="00682E50" w14:paraId="60ACADBD" w14:textId="44F3B491">
      <w:pPr>
        <w:spacing w:line="240" w:lineRule="auto"/>
        <w:rPr>
          <w:rFonts w:ascii="Aptos" w:hAnsi="Aptos" w:eastAsia="Aptos" w:cs="Aptos"/>
        </w:rPr>
      </w:pPr>
      <w:r w:rsidRPr="00682E50">
        <w:rPr>
          <w:rFonts w:ascii="Aptos" w:hAnsi="Aptos" w:eastAsia="Aptos" w:cs="Aptos"/>
          <w:lang w:val="en-US"/>
        </w:rPr>
        <w:t xml:space="preserve">La WCS salue ce document et l’attention accrue portée au rôle des plateformes en ligne dans la criminalité liée aux espèces sauvages. Nous constatons que certaines des principales recommandations du rapport annexé ne se reflètent pas dans les amendements proposés à la résolution Conf. 11.3 (Rev. CoP20) et encourageons donc le Comité permanent à renforcer les paragraphes b) et h) comme suit : </w:t>
      </w:r>
    </w:p>
    <w:p w:rsidRPr="00682E50" w:rsidR="00682E50" w:rsidP="00682E50" w:rsidRDefault="00682E50" w14:paraId="5B9227F7" w14:textId="77777777">
      <w:pPr>
        <w:spacing w:line="240" w:lineRule="auto"/>
        <w:rPr>
          <w:rFonts w:ascii="Aptos" w:hAnsi="Aptos" w:eastAsia="Aptos" w:cs="Aptos"/>
          <w:lang w:val="en-US"/>
        </w:rPr>
      </w:pPr>
      <w:bookmarkStart w:name="_38._Great_apes" w:id="99"/>
      <w:bookmarkStart w:name="_Great_apes_(Hominidae" w:id="100"/>
      <w:bookmarkEnd w:id="99"/>
    </w:p>
    <w:p w:rsidRPr="00682E50" w:rsidR="00682E50" w:rsidP="00682E50" w:rsidRDefault="00682E50" w14:paraId="111415AF" w14:textId="77777777">
      <w:pPr>
        <w:spacing w:line="240" w:lineRule="auto"/>
        <w:ind w:start="720"/>
        <w:rPr>
          <w:rFonts w:ascii="Aptos" w:hAnsi="Aptos" w:eastAsia="Aptos" w:cs="Aptos"/>
          <w:i/>
          <w:iCs/>
          <w:lang w:val="en-US"/>
        </w:rPr>
      </w:pPr>
      <w:r w:rsidRPr="00682E50">
        <w:rPr>
          <w:rFonts w:ascii="Aptos" w:hAnsi="Aptos" w:eastAsia="Aptos" w:cs="Aptos"/>
          <w:i/>
          <w:iCs/>
          <w:lang w:val="en-US"/>
        </w:rPr>
        <w:t xml:space="preserve">b) lorsque cela n’a pas encore été fait, de revoir et de modifier la législation nationale afin de garantir qu’elle prévoie des dispositions permettant d’enquêter et de poursuivre efficacement les crimes contre la faune sauvage liés à Internet</w:t>
      </w:r>
      <w:r w:rsidRPr="00682E50">
        <w:rPr>
          <w:rFonts w:ascii="Aptos" w:hAnsi="Aptos" w:eastAsia="Aptos" w:cs="Aptos"/>
          <w:i/>
          <w:iCs/>
          <w:color w:val="C00000"/>
          <w:u w:val="single"/>
          <w:lang w:val="en-US"/>
        </w:rPr>
        <w:t xml:space="preserve">, </w:t>
      </w:r>
      <w:r w:rsidRPr="00682E50">
        <w:rPr>
          <w:rFonts w:ascii="Aptos" w:hAnsi="Aptos" w:eastAsia="Aptos" w:cs="Aptos"/>
          <w:b/>
          <w:bCs/>
          <w:i/>
          <w:iCs/>
          <w:color w:val="C00000"/>
          <w:u w:val="single"/>
          <w:lang w:val="en-US"/>
        </w:rPr>
        <w:t xml:space="preserve">notamment en établissant la responsabilité des plateformes en ligne qui ne surveillent pas et ne signalent pas les contenus illicites</w:t>
      </w:r>
      <w:r w:rsidRPr="00682E50">
        <w:rPr>
          <w:rFonts w:ascii="Aptos" w:hAnsi="Aptos" w:eastAsia="Aptos" w:cs="Aptos"/>
          <w:i/>
          <w:iCs/>
          <w:color w:val="C00000"/>
          <w:u w:val="single"/>
          <w:lang w:val="en-US"/>
        </w:rPr>
        <w:t xml:space="preserve">, </w:t>
      </w:r>
      <w:r w:rsidRPr="00682E50">
        <w:rPr>
          <w:rFonts w:ascii="Aptos" w:hAnsi="Aptos" w:eastAsia="Aptos" w:cs="Aptos"/>
          <w:i/>
          <w:iCs/>
          <w:lang w:val="en-US"/>
        </w:rPr>
        <w:t xml:space="preserve">ainsi que l’intégration, le cas échéant, d’enquêtes sur la criminalité financière en lien avec ces crimes ; </w:t>
      </w:r>
    </w:p>
    <w:p w:rsidRPr="00682E50" w:rsidR="00682E50" w:rsidP="00682E50" w:rsidRDefault="00682E50" w14:paraId="4A90A414" w14:textId="77777777">
      <w:pPr>
        <w:spacing w:line="240" w:lineRule="auto"/>
        <w:ind w:start="720"/>
        <w:rPr>
          <w:rFonts w:ascii="Aptos" w:hAnsi="Aptos" w:eastAsia="Aptos" w:cs="Aptos"/>
          <w:i/>
          <w:iCs/>
          <w:lang w:val="en-US"/>
        </w:rPr>
      </w:pPr>
      <w:r w:rsidRPr="00682E50">
        <w:rPr>
          <w:rFonts w:ascii="Aptos" w:hAnsi="Aptos" w:eastAsia="Aptos" w:cs="Aptos"/>
          <w:i/>
          <w:iCs/>
          <w:lang w:val="en-US"/>
        </w:rPr>
        <w:t xml:space="preserve">(...)</w:t>
      </w:r>
    </w:p>
    <w:p w:rsidRPr="00682E50" w:rsidR="00682E50" w:rsidP="00682E50" w:rsidRDefault="00682E50" w14:paraId="29F37460" w14:textId="77777777">
      <w:pPr>
        <w:spacing w:line="240" w:lineRule="auto"/>
        <w:ind w:start="720"/>
        <w:rPr>
          <w:rFonts w:ascii="Aptos" w:hAnsi="Aptos" w:eastAsia="Aptos" w:cs="Aptos"/>
          <w:i/>
          <w:iCs/>
          <w:lang w:val="en-US"/>
        </w:rPr>
      </w:pPr>
      <w:r w:rsidRPr="00682E50">
        <w:rPr>
          <w:rFonts w:ascii="Aptos" w:hAnsi="Aptos" w:eastAsia="Aptos" w:cs="Aptos"/>
          <w:i/>
          <w:iCs/>
          <w:lang w:val="en-US"/>
        </w:rPr>
        <w:lastRenderedPageBreak/>
      </w:r>
      <w:r w:rsidRPr="00682E50">
        <w:rPr>
          <w:rFonts w:ascii="Aptos" w:hAnsi="Aptos" w:eastAsia="Aptos" w:cs="Aptos"/>
          <w:i/>
          <w:iCs/>
          <w:lang w:val="en-US"/>
        </w:rPr>
        <w:t xml:space="preserve">h) inciter les plateformes en ligne à : </w:t>
      </w:r>
    </w:p>
    <w:p w:rsidRPr="00682E50" w:rsidR="00682E50" w:rsidP="00682E50" w:rsidRDefault="00682E50" w14:paraId="7BC449EF" w14:textId="77777777">
      <w:pPr>
        <w:spacing w:line="240" w:lineRule="auto"/>
        <w:ind w:start="1440"/>
        <w:rPr>
          <w:rFonts w:ascii="Aptos" w:hAnsi="Aptos" w:eastAsia="Aptos" w:cs="Aptos"/>
          <w:i/>
          <w:iCs/>
          <w:lang w:val="en-US"/>
        </w:rPr>
      </w:pPr>
      <w:r w:rsidRPr="00682E50">
        <w:rPr>
          <w:rFonts w:ascii="Aptos" w:hAnsi="Aptos" w:eastAsia="Aptos" w:cs="Aptos"/>
          <w:i/>
          <w:iCs/>
          <w:lang w:val="en-US"/>
        </w:rPr>
        <w:t xml:space="preserve">i</w:t>
      </w:r>
      <w:r w:rsidRPr="00682E50">
        <w:rPr>
          <w:rFonts w:ascii="Aptos" w:hAnsi="Aptos" w:eastAsia="Aptos" w:cs="Aptos"/>
          <w:i/>
          <w:iCs/>
          <w:lang w:val="en-US"/>
        </w:rPr>
        <w:t xml:space="preserve">) adoptent et publient des politiques visant à lutter contre et à prévenir l’utilisation de ces plateformes pour le commerce illégal d’espèces sauvages, y compris des mesures visant à garantir le respect de ces politiques ; </w:t>
      </w:r>
    </w:p>
    <w:p w:rsidRPr="00682E50" w:rsidR="00682E50" w:rsidP="00682E50" w:rsidRDefault="00682E50" w14:paraId="34554578" w14:textId="77777777">
      <w:pPr>
        <w:spacing w:line="240" w:lineRule="auto"/>
        <w:ind w:start="1440"/>
        <w:rPr>
          <w:rFonts w:ascii="Aptos" w:hAnsi="Aptos" w:eastAsia="Aptos" w:cs="Aptos"/>
          <w:i/>
          <w:iCs/>
          <w:lang w:val="en-US"/>
        </w:rPr>
      </w:pPr>
      <w:r w:rsidRPr="00682E50">
        <w:rPr>
          <w:rFonts w:ascii="Aptos" w:hAnsi="Aptos" w:eastAsia="Aptos" w:cs="Aptos"/>
          <w:i/>
          <w:iCs/>
          <w:lang w:val="en-US"/>
        </w:rPr>
        <w:t xml:space="preserve">ii) veiller à ce que ces politiques soient présentées de manière claire et visible ; et </w:t>
      </w:r>
    </w:p>
    <w:p w:rsidRPr="00682E50" w:rsidR="00682E50" w:rsidP="00682E50" w:rsidRDefault="00682E50" w14:paraId="4656D8CC" w14:textId="77777777">
      <w:pPr>
        <w:spacing w:line="240" w:lineRule="auto"/>
        <w:ind w:start="1440"/>
        <w:rPr>
          <w:rFonts w:ascii="Aptos" w:hAnsi="Aptos" w:eastAsia="Aptos" w:cs="Aptos"/>
          <w:i/>
          <w:iCs/>
          <w:lang w:val="en-US"/>
        </w:rPr>
      </w:pPr>
      <w:r w:rsidRPr="00682E50">
        <w:rPr>
          <w:rFonts w:ascii="Aptos" w:hAnsi="Aptos" w:eastAsia="Aptos" w:cs="Aptos"/>
          <w:i/>
          <w:iCs/>
          <w:lang w:val="en-US"/>
        </w:rPr>
        <w:t xml:space="preserve">iii) </w:t>
      </w:r>
      <w:r w:rsidRPr="00682E50">
        <w:rPr>
          <w:rFonts w:ascii="Aptos" w:hAnsi="Aptos" w:eastAsia="Aptos" w:cs="Aptos"/>
          <w:i/>
          <w:iCs/>
          <w:lang w:val="en-US"/>
        </w:rPr>
        <w:t xml:space="preserve">les</w:t>
      </w:r>
      <w:r w:rsidRPr="00682E50">
        <w:rPr>
          <w:rFonts w:ascii="Aptos" w:hAnsi="Aptos" w:eastAsia="Aptos" w:cs="Aptos"/>
          <w:i/>
          <w:iCs/>
          <w:strike/>
          <w:color w:val="C00000"/>
          <w:lang w:val="en-US"/>
        </w:rPr>
        <w:t xml:space="preserve"> encourager </w:t>
      </w:r>
      <w:r w:rsidRPr="00682E50">
        <w:rPr>
          <w:rFonts w:ascii="Aptos" w:hAnsi="Aptos" w:eastAsia="Aptos" w:cs="Aptos"/>
          <w:b/>
          <w:bCs/>
          <w:i/>
          <w:iCs/>
          <w:color w:val="C00000"/>
          <w:lang w:val="en-US"/>
        </w:rPr>
        <w:t xml:space="preserve">et </w:t>
      </w:r>
      <w:r w:rsidRPr="00682E50">
        <w:rPr>
          <w:rFonts w:ascii="Aptos" w:hAnsi="Aptos" w:eastAsia="Aptos" w:cs="Aptos"/>
          <w:i/>
          <w:iCs/>
          <w:lang w:val="en-US"/>
        </w:rPr>
        <w:t xml:space="preserve">les</w:t>
      </w:r>
      <w:r w:rsidRPr="00682E50">
        <w:rPr>
          <w:rFonts w:ascii="Aptos" w:hAnsi="Aptos" w:eastAsia="Aptos" w:cs="Aptos"/>
          <w:b/>
          <w:bCs/>
          <w:i/>
          <w:iCs/>
          <w:color w:val="C00000"/>
          <w:lang w:val="en-US"/>
        </w:rPr>
        <w:t xml:space="preserve"> obliger </w:t>
      </w:r>
      <w:r w:rsidRPr="00682E50">
        <w:rPr>
          <w:rFonts w:ascii="Aptos" w:hAnsi="Aptos" w:eastAsia="Aptos" w:cs="Aptos"/>
          <w:i/>
          <w:iCs/>
          <w:lang w:val="en-US"/>
        </w:rPr>
        <w:t xml:space="preserve">à </w:t>
      </w:r>
      <w:r w:rsidRPr="00682E50">
        <w:rPr>
          <w:rFonts w:ascii="Aptos" w:hAnsi="Aptos" w:eastAsia="Aptos" w:cs="Aptos"/>
          <w:b/>
          <w:bCs/>
          <w:i/>
          <w:iCs/>
          <w:color w:val="C00000"/>
          <w:u w:val="single"/>
          <w:lang w:val="en-US"/>
        </w:rPr>
        <w:t xml:space="preserve">veiller à ce que toutes les espèces inscrites à la CITES soient accompagnées d’une mention claire informant les utilisateurs que le commerce de ces espèces est réglementé et peut nécessiter un permis </w:t>
      </w:r>
      <w:r w:rsidRPr="00682E50">
        <w:rPr>
          <w:rFonts w:ascii="Aptos" w:hAnsi="Aptos" w:eastAsia="Aptos" w:cs="Aptos"/>
          <w:i/>
          <w:iCs/>
          <w:strike/>
          <w:color w:val="C00000"/>
          <w:lang w:val="en-US"/>
        </w:rPr>
        <w:t xml:space="preserve">; informer leurs utilisateurs sur les crimes contre la faune sauvage liés à Internet</w:t>
      </w:r>
      <w:r w:rsidRPr="00682E50">
        <w:rPr>
          <w:rFonts w:ascii="Aptos" w:hAnsi="Aptos" w:eastAsia="Aptos" w:cs="Aptos"/>
          <w:i/>
          <w:iCs/>
          <w:color w:val="C00000"/>
          <w:lang w:val="en-US"/>
        </w:rPr>
        <w:t xml:space="preserve">, </w:t>
      </w:r>
      <w:r w:rsidRPr="00682E50">
        <w:rPr>
          <w:rFonts w:ascii="Aptos" w:hAnsi="Aptos" w:eastAsia="Aptos" w:cs="Aptos"/>
          <w:b/>
          <w:bCs/>
          <w:i/>
          <w:iCs/>
          <w:color w:val="C00000"/>
          <w:u w:val="single"/>
          <w:lang w:val="en-US"/>
        </w:rPr>
        <w:t xml:space="preserve">notamment </w:t>
      </w:r>
      <w:r w:rsidRPr="00682E50">
        <w:rPr>
          <w:rFonts w:ascii="Aptos" w:hAnsi="Aptos" w:eastAsia="Aptos" w:cs="Aptos"/>
          <w:i/>
          <w:iCs/>
          <w:lang w:val="en-US"/>
        </w:rPr>
        <w:t xml:space="preserve">en recourant à des alertes ciblées et à d’autres technologies afin de sensibiliser les utilisateurs aux lois applicables et aux politiques des sites web ; et </w:t>
      </w:r>
    </w:p>
    <w:p w:rsidRPr="00682E50" w:rsidR="00682E50" w:rsidP="00682E50" w:rsidRDefault="00682E50" w14:paraId="0CC7D989" w14:textId="77777777">
      <w:pPr>
        <w:spacing w:line="240" w:lineRule="auto"/>
        <w:ind w:start="1440"/>
        <w:rPr>
          <w:rFonts w:ascii="Aptos" w:hAnsi="Aptos" w:eastAsia="Aptos" w:cs="Aptos"/>
          <w:i/>
          <w:iCs/>
          <w:lang w:val="en-US"/>
        </w:rPr>
      </w:pPr>
      <w:r w:rsidRPr="00682E50">
        <w:rPr>
          <w:rFonts w:ascii="Aptos" w:hAnsi="Aptos" w:eastAsia="Aptos" w:cs="Aptos"/>
          <w:i/>
          <w:iCs/>
          <w:lang w:val="en-US"/>
        </w:rPr>
        <w:t xml:space="preserve">iv) renforcer la coopération avec les autorités nationales chargées de l’application de la loi afin de prévenir, détecter et démanteler la criminalité liée aux espèces sauvages sur Internet, conformément à la législation nationale applicable ;</w:t>
      </w:r>
    </w:p>
    <w:p w:rsidRPr="00682E50" w:rsidR="00682E50" w:rsidP="00682E50" w:rsidRDefault="00682E50" w14:paraId="69F124EC" w14:textId="77777777">
      <w:pPr>
        <w:spacing w:line="240" w:lineRule="auto"/>
        <w:rPr>
          <w:rFonts w:ascii="Aptos" w:hAnsi="Aptos" w:eastAsia="Aptos" w:cs="Aptos"/>
          <w:lang w:val="en-US"/>
        </w:rPr>
      </w:pPr>
    </w:p>
    <w:p w:rsidRPr="00682E50" w:rsidR="00682E50" w:rsidP="00682E50" w:rsidRDefault="00682E50" w14:paraId="63226EDD" w14:textId="5C8C25F0">
      <w:pPr>
        <w:spacing w:line="240" w:lineRule="auto"/>
        <w:rPr>
          <w:rFonts w:ascii="Aptos" w:hAnsi="Aptos" w:eastAsia="Aptos" w:cs="Aptos"/>
          <w:lang w:val="en-US"/>
        </w:rPr>
      </w:pPr>
      <w:r w:rsidRPr="5403C073">
        <w:rPr>
          <w:rFonts w:ascii="Aptos" w:hAnsi="Aptos" w:eastAsia="Aptos" w:cs="Aptos"/>
          <w:lang w:val="en-US"/>
        </w:rPr>
        <w:t xml:space="preserve">Ces modifications reflètent les recommandations formulées dans le rapport en annexe, </w:t>
      </w:r>
      <w:r w:rsidRPr="5403C073" w:rsidR="0370482D">
        <w:rPr>
          <w:rFonts w:ascii="Aptos" w:hAnsi="Aptos" w:eastAsia="Aptos" w:cs="Aptos"/>
          <w:lang w:val="en-US"/>
        </w:rPr>
        <w:t xml:space="preserve">aux </w:t>
      </w:r>
      <w:r w:rsidRPr="5403C073">
        <w:rPr>
          <w:rFonts w:ascii="Aptos" w:hAnsi="Aptos" w:eastAsia="Aptos" w:cs="Aptos"/>
          <w:lang w:val="en-US"/>
        </w:rPr>
        <w:t xml:space="preserve">pages 56 et 57 du document 37.3.</w:t>
      </w:r>
    </w:p>
    <w:bookmarkEnd w:id="100"/>
    <w:p w:rsidR="00682E50" w:rsidP="00682E50" w:rsidRDefault="00682E50" w14:paraId="3B03FB2A" w14:textId="77777777">
      <w:pPr>
        <w:pStyle w:val="Heading1"/>
        <w:rPr>
          <w:rFonts w:ascii="Aptos" w:hAnsi="Aptos"/>
          <w:sz w:val="22"/>
          <w:szCs w:val="22"/>
        </w:rPr>
      </w:pPr>
    </w:p>
    <w:p w:rsidRPr="00682E50" w:rsidR="00682E50" w:rsidP="00682E50" w:rsidRDefault="00682E50" w14:paraId="52719DA7" w14:textId="77777777"/>
    <w:p w:rsidRPr="00682E50" w:rsidR="00682E50" w:rsidP="00682E50" w:rsidRDefault="00682E50" w14:paraId="22C73CCC" w14:textId="594C5DC0">
      <w:pPr>
        <w:pStyle w:val="Heading1"/>
        <w:rPr>
          <w:rFonts w:ascii="Aptos" w:hAnsi="Aptos"/>
          <w:sz w:val="22"/>
          <w:szCs w:val="22"/>
        </w:rPr>
      </w:pPr>
      <w:bookmarkStart w:name="_39._Rhinoceroses_(Rhinocerotidae" w:id="101"/>
      <w:bookmarkStart w:name="_Toc242564014" w:id="102"/>
      <w:bookmarkEnd w:id="101"/>
      <w:r>
        <w:rPr>
          <w:rFonts w:ascii="Aptos" w:hAnsi="Aptos"/>
          <w:sz w:val="22"/>
          <w:szCs w:val="22"/>
        </w:rPr>
        <w:t xml:space="preserve">39 </w:t>
      </w:r>
      <w:r w:rsidR="00395EA8">
        <w:rPr>
          <w:rFonts w:ascii="Aptos" w:hAnsi="Aptos"/>
          <w:sz w:val="22"/>
          <w:szCs w:val="22"/>
        </w:rPr>
        <w:t xml:space="preserve">: </w:t>
      </w:r>
      <w:hyperlink r:id="rId45">
        <w:r w:rsidRPr="00682E50">
          <w:rPr>
            <w:rStyle w:val="Hyperlink"/>
            <w:rFonts w:ascii="Aptos" w:hAnsi="Aptos"/>
            <w:sz w:val="22"/>
            <w:szCs w:val="22"/>
          </w:rPr>
          <w:t xml:space="preserve">Rhinocéros (</w:t>
        </w:r>
        <w:r w:rsidRPr="00682E50">
          <w:rPr>
            <w:rStyle w:val="Hyperlink"/>
            <w:rFonts w:ascii="Aptos" w:hAnsi="Aptos"/>
            <w:sz w:val="22"/>
            <w:szCs w:val="22"/>
          </w:rPr>
          <w:t xml:space="preserve">Rhinocerotidae </w:t>
        </w:r>
        <w:r w:rsidRPr="00682E50">
          <w:rPr>
            <w:rStyle w:val="Hyperlink"/>
            <w:rFonts w:ascii="Aptos" w:hAnsi="Aptos"/>
            <w:sz w:val="22"/>
            <w:szCs w:val="22"/>
          </w:rPr>
          <w:t xml:space="preserve">spp.) (Décision 20.84)</w:t>
        </w:r>
        <w:bookmarkEnd w:id="102"/>
      </w:hyperlink>
    </w:p>
    <w:p w:rsidR="00682E50" w:rsidP="00682E50" w:rsidRDefault="00682E50" w14:paraId="170F2C93" w14:textId="77777777">
      <w:pPr>
        <w:spacing w:line="240" w:lineRule="auto"/>
        <w:rPr>
          <w:rFonts w:ascii="Aptos" w:hAnsi="Aptos" w:eastAsia="Aptos" w:cs="Aptos"/>
          <w:lang w:val="en-US"/>
        </w:rPr>
      </w:pPr>
    </w:p>
    <w:p w:rsidRPr="00682E50" w:rsidR="00682E50" w:rsidP="00682E50" w:rsidRDefault="00682E50" w14:paraId="50741CF9" w14:textId="2900AD5E">
      <w:pPr>
        <w:spacing w:line="240" w:lineRule="auto"/>
        <w:rPr>
          <w:rFonts w:ascii="Aptos" w:hAnsi="Aptos" w:eastAsia="Aptos" w:cs="Aptos"/>
          <w:lang w:val="en-US"/>
        </w:rPr>
      </w:pPr>
      <w:r w:rsidRPr="5403C073">
        <w:rPr>
          <w:rFonts w:ascii="Aptos" w:hAnsi="Aptos" w:eastAsia="Aptos" w:cs="Aptos"/>
          <w:lang w:val="en-US"/>
        </w:rPr>
        <w:t xml:space="preserve">La WCS salue ce document et soutient les </w:t>
      </w:r>
      <w:r w:rsidRPr="5403C073">
        <w:rPr>
          <w:rFonts w:ascii="Aptos" w:hAnsi="Aptos" w:eastAsia="Aptos" w:cs="Aptos"/>
          <w:lang w:val="en-US"/>
        </w:rPr>
        <w:t xml:space="preserve">recommandations qu’il contient. À l’instar du Secrétariat, la WCS s’inquiète du nombre limité de réponses reçues des Parties, notamment au vu des récentes saisies de cornes de rhinocéros et des menaces persistantes que représente le commerce illégal de ces cornes, qui continuent de compromettre le succès des efforts de conservation de ces espèces. Le manque de rapports signifie que le document ne tient pas compte du problème persistant du commerce vers des Parties qui n’étaient pas mentionnées auparavant dans le document. Compte tenu du nombre limité de réponses reçues, y compris de la part de Parties reconnues comme lieux d’origine, de transit et de destination pour la corne de rhinocéros, nous encourageons une nouvelle fois la mise en place d’obligations de rapport assorties de délais pour les pays touchés par le commerce illégal de rhinocéros.</w:t>
      </w:r>
    </w:p>
    <w:p w:rsidR="00682E50" w:rsidP="00682E50" w:rsidRDefault="00682E50" w14:paraId="11886582" w14:textId="77777777">
      <w:pPr>
        <w:spacing w:line="240" w:lineRule="auto"/>
        <w:rPr>
          <w:rFonts w:ascii="Aptos" w:hAnsi="Aptos" w:eastAsia="Aptos" w:cs="Aptos"/>
        </w:rPr>
      </w:pPr>
    </w:p>
    <w:p w:rsidRPr="00682E50" w:rsidR="00682E50" w:rsidP="00682E50" w:rsidRDefault="00682E50" w14:paraId="67781CB9" w14:textId="77777777">
      <w:pPr>
        <w:spacing w:line="240" w:lineRule="auto"/>
        <w:rPr>
          <w:rFonts w:ascii="Aptos" w:hAnsi="Aptos" w:eastAsia="Aptos" w:cs="Aptos"/>
        </w:rPr>
      </w:pPr>
    </w:p>
    <w:p w:rsidRPr="00682E50" w:rsidR="00682E50" w:rsidP="00682E50" w:rsidRDefault="00682E50" w14:paraId="38AAF907" w14:textId="0A8DD718">
      <w:pPr>
        <w:pStyle w:val="Heading1"/>
        <w:rPr>
          <w:rFonts w:ascii="Aptos" w:hAnsi="Aptos"/>
          <w:sz w:val="22"/>
          <w:szCs w:val="22"/>
        </w:rPr>
      </w:pPr>
      <w:bookmarkStart w:name="_40._Tortoises_and" w:id="103"/>
      <w:bookmarkStart w:name="_Tortoises_and_freshwater" w:id="104"/>
      <w:bookmarkStart w:name="_Toc242564015" w:id="105"/>
      <w:bookmarkEnd w:id="103"/>
      <w:r w:rsidRPr="00682E50">
        <w:rPr>
          <w:rFonts w:ascii="Aptos" w:hAnsi="Aptos"/>
          <w:sz w:val="22"/>
          <w:szCs w:val="22"/>
        </w:rPr>
        <w:t xml:space="preserve">40 </w:t>
      </w:r>
      <w:r w:rsidR="00395EA8">
        <w:rPr>
          <w:rFonts w:ascii="Aptos" w:hAnsi="Aptos"/>
          <w:sz w:val="22"/>
          <w:szCs w:val="22"/>
        </w:rPr>
        <w:t xml:space="preserve">: </w:t>
      </w:r>
      <w:r w:rsidRPr="00682E50">
        <w:rPr>
          <w:rFonts w:ascii="Aptos" w:hAnsi="Aptos"/>
          <w:sz w:val="22"/>
          <w:szCs w:val="22"/>
        </w:rPr>
        <w:t xml:space="preserve">Tortues terrestres et d’eau douce (Testudines spp.) de Madagascar (Décision 20.91)</w:t>
      </w:r>
      <w:bookmarkEnd w:id="104"/>
      <w:bookmarkEnd w:id="105"/>
      <w:r w:rsidRPr="00682E50">
        <w:rPr>
          <w:rFonts w:ascii="Aptos" w:hAnsi="Aptos"/>
          <w:sz w:val="22"/>
          <w:szCs w:val="22"/>
        </w:rPr>
        <w:t xml:space="preserve"> </w:t>
      </w:r>
    </w:p>
    <w:p w:rsidR="00682E50" w:rsidP="00682E50" w:rsidRDefault="00682E50" w14:paraId="00A555E5" w14:textId="77777777">
      <w:pPr>
        <w:spacing w:line="240" w:lineRule="auto"/>
        <w:rPr>
          <w:rFonts w:ascii="Aptos" w:hAnsi="Aptos"/>
        </w:rPr>
      </w:pPr>
    </w:p>
    <w:p w:rsidRPr="00682E50" w:rsidR="00682E50" w:rsidP="00682E50" w:rsidRDefault="00682E50" w14:paraId="1220625A" w14:textId="7E817C78">
      <w:pPr>
        <w:spacing w:line="240" w:lineRule="auto"/>
        <w:rPr>
          <w:rFonts w:ascii="Aptos" w:hAnsi="Aptos" w:eastAsia="Aptos" w:cs="Aptos"/>
          <w:b/>
          <w:bCs/>
          <w:color w:val="231F20"/>
        </w:rPr>
      </w:pPr>
      <w:r w:rsidRPr="00682E50">
        <w:rPr>
          <w:rFonts w:ascii="Aptos" w:hAnsi="Aptos"/>
          <w:b/>
          <w:bCs/>
        </w:rPr>
        <w:t xml:space="preserve">40.1 </w:t>
      </w:r>
      <w:r w:rsidR="00395EA8">
        <w:rPr>
          <w:rFonts w:ascii="Aptos" w:hAnsi="Aptos"/>
          <w:b/>
          <w:bCs/>
        </w:rPr>
        <w:t xml:space="preserve">: </w:t>
      </w:r>
      <w:hyperlink r:id="rId46">
        <w:r w:rsidRPr="00682E50">
          <w:rPr>
            <w:rStyle w:val="Hyperlink"/>
            <w:rFonts w:ascii="Aptos" w:hAnsi="Aptos"/>
            <w:b/>
            <w:bCs/>
            <w:lang w:val="en-US"/>
          </w:rPr>
          <w:t xml:space="preserve">Rapport de Madagascar</w:t>
        </w:r>
      </w:hyperlink>
    </w:p>
    <w:p w:rsidR="00682E50" w:rsidP="00682E50" w:rsidRDefault="00682E50" w14:paraId="11ADD4A9" w14:textId="77777777">
      <w:pPr>
        <w:spacing w:line="240" w:lineRule="auto"/>
        <w:rPr>
          <w:rFonts w:ascii="Aptos" w:hAnsi="Aptos" w:eastAsia="Aptos" w:cs="Aptos"/>
          <w:color w:val="B8CCE4" w:themeColor="accent1" w:themeTint="66"/>
          <w:lang w:val="en-SG"/>
        </w:rPr>
      </w:pPr>
    </w:p>
    <w:p w:rsidR="00682E50" w:rsidP="00682E50" w:rsidRDefault="00682E50" w14:paraId="18E78787" w14:textId="334211FA">
      <w:pPr>
        <w:spacing w:line="240" w:lineRule="auto"/>
        <w:rPr>
          <w:rFonts w:ascii="Aptos" w:hAnsi="Aptos" w:eastAsia="Aptos" w:cs="Aptos"/>
          <w:color w:val="B8CCE4" w:themeColor="accent1" w:themeTint="66"/>
          <w:lang w:val="en-SG"/>
        </w:rPr>
      </w:pPr>
      <w:r w:rsidRPr="73356980">
        <w:rPr>
          <w:rFonts w:ascii="Aptos" w:hAnsi="Aptos" w:eastAsia="Aptos" w:cs="Aptos"/>
          <w:color w:val="B8CCE4" w:themeColor="accent1" w:themeTint="66"/>
          <w:lang w:val="en-SG"/>
        </w:rPr>
        <w:t xml:space="preserve">Nous nous réjouissons de pouvoir fournir </w:t>
      </w:r>
      <w:r w:rsidRPr="73356980" w:rsidR="756F8BE4">
        <w:rPr>
          <w:rFonts w:ascii="Aptos" w:hAnsi="Aptos" w:eastAsia="Aptos" w:cs="Aptos"/>
          <w:color w:val="B8CCE4" w:themeColor="accent1" w:themeTint="66"/>
          <w:lang w:val="en-SG"/>
        </w:rPr>
        <w:t xml:space="preserve">des commentaires</w:t>
      </w:r>
      <w:r w:rsidRPr="73356980">
        <w:rPr>
          <w:rFonts w:ascii="Aptos" w:hAnsi="Aptos" w:eastAsia="Aptos" w:cs="Aptos"/>
          <w:color w:val="B8CCE4" w:themeColor="accent1" w:themeTint="66"/>
          <w:lang w:val="en-SG"/>
        </w:rPr>
        <w:t xml:space="preserve"> supplémentaires </w:t>
      </w:r>
      <w:r w:rsidRPr="73356980">
        <w:rPr>
          <w:rFonts w:ascii="Aptos" w:hAnsi="Aptos" w:eastAsia="Aptos" w:cs="Aptos"/>
          <w:color w:val="B8CCE4" w:themeColor="accent1" w:themeTint="66"/>
          <w:lang w:val="en-SG"/>
        </w:rPr>
        <w:t xml:space="preserve">à l’approche de la 81e session du Comité de sauvegarde (SC81). </w:t>
      </w:r>
    </w:p>
    <w:p w:rsidR="00682E50" w:rsidP="00682E50" w:rsidRDefault="00682E50" w14:paraId="1C661EA7" w14:textId="77777777">
      <w:pPr>
        <w:spacing w:line="240" w:lineRule="auto"/>
        <w:rPr>
          <w:rFonts w:ascii="Aptos" w:hAnsi="Aptos" w:eastAsia="Aptos" w:cs="Aptos"/>
          <w:color w:val="231F20"/>
        </w:rPr>
      </w:pPr>
    </w:p>
    <w:p w:rsidRPr="00682E50" w:rsidR="00682E50" w:rsidP="00682E50" w:rsidRDefault="00682E50" w14:paraId="50D695C8" w14:textId="77777777">
      <w:pPr>
        <w:spacing w:line="240" w:lineRule="auto"/>
        <w:rPr>
          <w:rFonts w:ascii="Aptos" w:hAnsi="Aptos" w:eastAsia="Aptos" w:cs="Aptos"/>
          <w:color w:val="231F20"/>
        </w:rPr>
      </w:pPr>
    </w:p>
    <w:p w:rsidRPr="00682E50" w:rsidR="00682E50" w:rsidP="00682E50" w:rsidRDefault="00682E50" w14:paraId="14B2B760" w14:textId="0109F616">
      <w:pPr>
        <w:pStyle w:val="Heading1"/>
        <w:rPr>
          <w:rFonts w:ascii="Aptos" w:hAnsi="Aptos"/>
          <w:sz w:val="22"/>
          <w:szCs w:val="22"/>
        </w:rPr>
      </w:pPr>
      <w:bookmarkStart w:name="_41._Implementation_of" w:id="106"/>
      <w:bookmarkStart w:name="_Implementation_of_the" w:id="107"/>
      <w:bookmarkStart w:name="_Toc242564016" w:id="108"/>
      <w:bookmarkEnd w:id="106"/>
      <w:r>
        <w:rPr>
          <w:rFonts w:ascii="Aptos" w:hAnsi="Aptos"/>
          <w:sz w:val="22"/>
          <w:szCs w:val="22"/>
        </w:rPr>
        <w:t xml:space="preserve">41 </w:t>
      </w:r>
      <w:r w:rsidR="00395EA8">
        <w:rPr>
          <w:rFonts w:ascii="Aptos" w:hAnsi="Aptos"/>
          <w:sz w:val="22"/>
          <w:szCs w:val="22"/>
        </w:rPr>
        <w:t xml:space="preserve">: </w:t>
      </w:r>
      <w:hyperlink w:history="1" r:id="rId47">
        <w:r w:rsidRPr="00682E50">
          <w:rPr>
            <w:rStyle w:val="Hyperlink"/>
            <w:rFonts w:ascii="Aptos" w:hAnsi="Aptos"/>
            <w:sz w:val="22"/>
            <w:szCs w:val="22"/>
          </w:rPr>
          <w:t xml:space="preserve">Mise en œuvre des recommandations issues de l’examen du </w:t>
        </w:r>
        <w:r w:rsidRPr="00682E50">
          <w:rPr>
            <w:rStyle w:val="Hyperlink"/>
            <w:rFonts w:ascii="Aptos" w:hAnsi="Aptos"/>
            <w:sz w:val="22"/>
            <w:szCs w:val="22"/>
          </w:rPr>
          <w:t xml:space="preserve">programme</w:t>
        </w:r>
        <w:r w:rsidRPr="00682E50">
          <w:rPr>
            <w:rStyle w:val="Hyperlink"/>
            <w:rFonts w:ascii="Aptos" w:hAnsi="Aptos"/>
            <w:sz w:val="22"/>
            <w:szCs w:val="22"/>
          </w:rPr>
          <w:t xml:space="preserve"> ETIS </w:t>
        </w:r>
        <w:r w:rsidRPr="00682E50">
          <w:rPr>
            <w:rStyle w:val="Hyperlink"/>
            <w:rFonts w:ascii="Aptos" w:hAnsi="Aptos"/>
            <w:sz w:val="22"/>
            <w:szCs w:val="22"/>
          </w:rPr>
          <w:t xml:space="preserve">(décisions 19.96, 20.94, 20.98 et 20.103)</w:t>
        </w:r>
        <w:bookmarkEnd w:id="107"/>
        <w:bookmarkEnd w:id="108"/>
      </w:hyperlink>
    </w:p>
    <w:p w:rsidR="00682E50" w:rsidP="00682E50" w:rsidRDefault="00682E50" w14:paraId="1C81E81B" w14:textId="77777777">
      <w:pPr>
        <w:spacing w:line="240" w:lineRule="auto"/>
        <w:rPr>
          <w:rFonts w:ascii="Aptos" w:hAnsi="Aptos" w:eastAsia="Aptos" w:cs="Aptos"/>
          <w:color w:val="B8CCE4" w:themeColor="accent1" w:themeTint="66"/>
          <w:lang w:val="en-SG"/>
        </w:rPr>
      </w:pPr>
    </w:p>
    <w:p w:rsidR="00682E50" w:rsidP="00682E50" w:rsidRDefault="00682E50" w14:paraId="716D50AA" w14:textId="1B8DC2E5">
      <w:pPr>
        <w:spacing w:line="240" w:lineRule="auto"/>
        <w:rPr>
          <w:rFonts w:ascii="Aptos" w:hAnsi="Aptos" w:eastAsia="Aptos" w:cs="Aptos"/>
          <w:color w:val="B8CCE4" w:themeColor="accent1" w:themeTint="66"/>
          <w:lang w:val="en-SG"/>
        </w:rPr>
      </w:pPr>
      <w:r w:rsidRPr="73356980">
        <w:rPr>
          <w:rFonts w:ascii="Aptos" w:hAnsi="Aptos" w:eastAsia="Aptos" w:cs="Aptos"/>
          <w:color w:val="B8CCE4" w:themeColor="accent1" w:themeTint="66"/>
          <w:lang w:val="en-SG"/>
        </w:rPr>
        <w:t xml:space="preserve">Nous nous réjouissons de pouvoir fournir </w:t>
      </w:r>
      <w:r w:rsidRPr="73356980" w:rsidR="792714CA">
        <w:rPr>
          <w:rFonts w:ascii="Aptos" w:hAnsi="Aptos" w:eastAsia="Aptos" w:cs="Aptos"/>
          <w:color w:val="B8CCE4" w:themeColor="accent1" w:themeTint="66"/>
          <w:lang w:val="en-SG"/>
        </w:rPr>
        <w:t xml:space="preserve">des commentaires</w:t>
      </w:r>
      <w:r w:rsidRPr="73356980">
        <w:rPr>
          <w:rFonts w:ascii="Aptos" w:hAnsi="Aptos" w:eastAsia="Aptos" w:cs="Aptos"/>
          <w:color w:val="B8CCE4" w:themeColor="accent1" w:themeTint="66"/>
          <w:lang w:val="en-SG"/>
        </w:rPr>
        <w:t xml:space="preserve"> supplémentaires </w:t>
      </w:r>
      <w:r w:rsidRPr="73356980">
        <w:rPr>
          <w:rFonts w:ascii="Aptos" w:hAnsi="Aptos" w:eastAsia="Aptos" w:cs="Aptos"/>
          <w:color w:val="B8CCE4" w:themeColor="accent1" w:themeTint="66"/>
          <w:lang w:val="en-SG"/>
        </w:rPr>
        <w:t xml:space="preserve">à l’approche de la 81e réunion du Comité scientifique (SC81). </w:t>
      </w:r>
    </w:p>
    <w:p w:rsidRPr="00682E50" w:rsidR="00682E50" w:rsidP="00682E50" w:rsidRDefault="00682E50" w14:paraId="342ED508" w14:textId="77777777">
      <w:pPr>
        <w:spacing w:line="240" w:lineRule="auto"/>
        <w:rPr>
          <w:rFonts w:ascii="Aptos" w:hAnsi="Aptos" w:eastAsia="Aptos" w:cs="Aptos"/>
        </w:rPr>
      </w:pPr>
    </w:p>
    <w:p w:rsidRPr="00682E50" w:rsidR="00682E50" w:rsidP="00682E50" w:rsidRDefault="00682E50" w14:paraId="03AF632F" w14:textId="77777777">
      <w:pPr>
        <w:spacing w:line="240" w:lineRule="auto"/>
        <w:rPr>
          <w:rFonts w:ascii="Aptos" w:hAnsi="Aptos" w:eastAsia="Aptos" w:cs="Aptos"/>
        </w:rPr>
      </w:pPr>
    </w:p>
    <w:p w:rsidRPr="00682E50" w:rsidR="00682E50" w:rsidP="00682E50" w:rsidRDefault="00682E50" w14:paraId="7A7CBC4A" w14:textId="2C05B436">
      <w:pPr>
        <w:pStyle w:val="Heading1"/>
        <w:rPr>
          <w:rFonts w:ascii="Aptos" w:hAnsi="Aptos"/>
          <w:sz w:val="22"/>
          <w:szCs w:val="22"/>
        </w:rPr>
      </w:pPr>
      <w:bookmarkStart w:name="_43._Legal_acquisition" w:id="109"/>
      <w:bookmarkStart w:name="_Legal_acquisition_findings_" w:id="110"/>
      <w:bookmarkStart w:name="_Toc242564017" w:id="111"/>
      <w:bookmarkEnd w:id="109"/>
      <w:r w:rsidRPr="00682E50">
        <w:rPr>
          <w:rFonts w:ascii="Aptos" w:hAnsi="Aptos"/>
          <w:sz w:val="22"/>
          <w:szCs w:val="22"/>
        </w:rPr>
        <w:t xml:space="preserve">43 </w:t>
      </w:r>
      <w:r w:rsidR="00395EA8">
        <w:rPr>
          <w:rFonts w:ascii="Aptos" w:hAnsi="Aptos"/>
          <w:sz w:val="22"/>
          <w:szCs w:val="22"/>
        </w:rPr>
        <w:t xml:space="preserve">: </w:t>
      </w:r>
      <w:r w:rsidRPr="00682E50">
        <w:rPr>
          <w:rFonts w:ascii="Aptos" w:hAnsi="Aptos"/>
          <w:sz w:val="22"/>
          <w:szCs w:val="22"/>
        </w:rPr>
        <w:t xml:space="preserve">Conclusions relatives à l’acquisition légale</w:t>
      </w:r>
      <w:bookmarkEnd w:id="110"/>
      <w:bookmarkEnd w:id="111"/>
      <w:r w:rsidRPr="00682E50">
        <w:rPr>
          <w:rFonts w:ascii="Aptos" w:hAnsi="Aptos"/>
          <w:sz w:val="22"/>
          <w:szCs w:val="22"/>
        </w:rPr>
        <w:t xml:space="preserve"> </w:t>
      </w:r>
    </w:p>
    <w:p w:rsidR="00395EA8" w:rsidP="00682E50" w:rsidRDefault="00395EA8" w14:paraId="4EF6DCE5" w14:textId="77777777">
      <w:pPr>
        <w:pStyle w:val="Heading1"/>
        <w:rPr>
          <w:rFonts w:ascii="Aptos" w:hAnsi="Aptos"/>
          <w:sz w:val="22"/>
          <w:szCs w:val="22"/>
        </w:rPr>
      </w:pPr>
      <w:bookmarkStart w:name="_43.1._Report_of" w:id="112"/>
      <w:bookmarkStart w:name="_Toc242564018" w:id="113"/>
      <w:bookmarkEnd w:id="112"/>
    </w:p>
    <w:p w:rsidRPr="00682E50" w:rsidR="00682E50" w:rsidP="00682E50" w:rsidRDefault="00682E50" w14:paraId="1E506842" w14:textId="5EFCA926">
      <w:pPr>
        <w:pStyle w:val="Heading1"/>
        <w:rPr>
          <w:rFonts w:ascii="Aptos" w:hAnsi="Aptos"/>
          <w:sz w:val="22"/>
          <w:szCs w:val="22"/>
        </w:rPr>
      </w:pPr>
      <w:r w:rsidRPr="00682E50">
        <w:rPr>
          <w:rFonts w:ascii="Aptos" w:hAnsi="Aptos"/>
          <w:sz w:val="22"/>
          <w:szCs w:val="22"/>
        </w:rPr>
        <w:t xml:space="preserve">43.</w:t>
      </w:r>
      <w:bookmarkStart w:name="___1._Report" w:id="114"/>
      <w:r w:rsidRPr="00682E50">
        <w:rPr>
          <w:rFonts w:ascii="Aptos" w:hAnsi="Aptos"/>
          <w:sz w:val="22"/>
          <w:szCs w:val="22"/>
        </w:rPr>
        <w:t xml:space="preserve"> 1 </w:t>
      </w:r>
      <w:r w:rsidR="00395EA8">
        <w:rPr>
          <w:rFonts w:ascii="Aptos" w:hAnsi="Aptos"/>
          <w:sz w:val="22"/>
          <w:szCs w:val="22"/>
        </w:rPr>
        <w:t xml:space="preserve">: </w:t>
      </w:r>
      <w:hyperlink r:id="rId48">
        <w:r w:rsidRPr="00682E50">
          <w:rPr>
            <w:rStyle w:val="Hyperlink"/>
            <w:rFonts w:ascii="Aptos" w:hAnsi="Aptos"/>
            <w:sz w:val="22"/>
            <w:szCs w:val="22"/>
          </w:rPr>
          <w:t xml:space="preserve">Rapport du groupe de travail (décision 20.112)</w:t>
        </w:r>
        <w:bookmarkEnd w:id="113"/>
        <w:bookmarkEnd w:id="114"/>
      </w:hyperlink>
      <w:r w:rsidRPr="00682E50">
        <w:rPr>
          <w:rFonts w:ascii="Aptos" w:hAnsi="Aptos"/>
          <w:sz w:val="22"/>
          <w:szCs w:val="22"/>
        </w:rPr>
        <w:t xml:space="preserve"> </w:t>
      </w:r>
    </w:p>
    <w:p w:rsidR="00395EA8" w:rsidP="00682E50" w:rsidRDefault="00395EA8" w14:paraId="654DBFC0" w14:textId="77777777">
      <w:pPr>
        <w:spacing w:line="240" w:lineRule="auto"/>
        <w:rPr>
          <w:rFonts w:ascii="Aptos" w:hAnsi="Aptos" w:eastAsia="Aptos" w:cs="Aptos"/>
          <w:lang w:val="en-US"/>
        </w:rPr>
      </w:pPr>
    </w:p>
    <w:p w:rsidRPr="00682E50" w:rsidR="00682E50" w:rsidP="00682E50" w:rsidRDefault="00682E50" w14:paraId="0DBC6BBE" w14:textId="1DF1EE40">
      <w:pPr>
        <w:spacing w:line="240" w:lineRule="auto"/>
        <w:rPr>
          <w:rFonts w:ascii="Aptos" w:hAnsi="Aptos" w:eastAsia="Aptos" w:cs="Aptos"/>
          <w:lang w:val="en-US"/>
        </w:rPr>
      </w:pPr>
      <w:r w:rsidRPr="00682E50">
        <w:rPr>
          <w:rFonts w:ascii="Aptos" w:hAnsi="Aptos" w:eastAsia="Aptos" w:cs="Aptos"/>
          <w:lang w:val="en-US"/>
        </w:rPr>
        <w:lastRenderedPageBreak/>
      </w:r>
      <w:r w:rsidRPr="00682E50">
        <w:rPr>
          <w:rFonts w:ascii="Aptos" w:hAnsi="Aptos" w:eastAsia="Aptos" w:cs="Aptos"/>
          <w:lang w:val="en-US"/>
        </w:rPr>
        <w:t xml:space="preserve">Nous apprécions l’engagement constructif des membres du groupe de travail intersessionnel et remercions les États-Unis, en leur qualité de président du groupe de travail, pour le résumé de ces discussions complexes. </w:t>
      </w:r>
    </w:p>
    <w:p w:rsidRPr="00682E50" w:rsidR="00682E50" w:rsidP="00682E50" w:rsidRDefault="00682E50" w14:paraId="107E219B" w14:textId="77777777">
      <w:pPr>
        <w:spacing w:line="240" w:lineRule="auto"/>
        <w:rPr>
          <w:rFonts w:ascii="Aptos" w:hAnsi="Aptos" w:eastAsia="Aptos" w:cs="Aptos"/>
          <w:lang w:val="en-US"/>
        </w:rPr>
      </w:pPr>
    </w:p>
    <w:p w:rsidRPr="00682E50" w:rsidR="00682E50" w:rsidP="00682E50" w:rsidRDefault="00682E50" w14:paraId="51DBF905" w14:textId="77777777">
      <w:pPr>
        <w:spacing w:line="240" w:lineRule="auto"/>
        <w:rPr>
          <w:rFonts w:ascii="Aptos" w:hAnsi="Aptos"/>
        </w:rPr>
      </w:pPr>
      <w:r w:rsidRPr="00682E50">
        <w:rPr>
          <w:rFonts w:ascii="Aptos" w:hAnsi="Aptos" w:eastAsia="Aptos" w:cs="Aptos"/>
          <w:lang w:val="en-US"/>
        </w:rPr>
        <w:t xml:space="preserve">En ce qui concerne l’interprétation par la WCS du terme « souche fondatrice », nous réitérons les points que nous avons soulevés lors des discussions du groupe de travail intersessionnel : </w:t>
      </w:r>
    </w:p>
    <w:p w:rsidRPr="00682E50" w:rsidR="00682E50" w:rsidP="00682E50" w:rsidRDefault="00682E50" w14:paraId="7EED1A1E" w14:textId="77777777">
      <w:pPr>
        <w:spacing w:line="240" w:lineRule="auto"/>
        <w:rPr>
          <w:rFonts w:ascii="Aptos" w:hAnsi="Aptos" w:eastAsia="Aptos" w:cs="Aptos"/>
          <w:lang w:val="en-US"/>
        </w:rPr>
      </w:pPr>
    </w:p>
    <w:p w:rsidRPr="00682E50" w:rsidR="00682E50" w:rsidP="00682E50" w:rsidRDefault="00682E50" w14:paraId="690FE0EA" w14:textId="77777777">
      <w:pPr>
        <w:pStyle w:val="ListParagraph"/>
        <w:numPr>
          <w:ilvl w:val="0"/>
          <w:numId w:val="19"/>
        </w:numPr>
        <w:spacing w:line="240" w:lineRule="auto"/>
        <w:rPr>
          <w:rFonts w:ascii="Aptos" w:hAnsi="Aptos" w:eastAsia="Aptos" w:cs="Aptos"/>
          <w:lang w:val="en-US"/>
        </w:rPr>
      </w:pPr>
      <w:r w:rsidRPr="00682E50">
        <w:rPr>
          <w:rFonts w:ascii="Aptos" w:hAnsi="Aptos" w:eastAsia="Aptos" w:cs="Aptos"/>
          <w:lang w:val="en-US"/>
        </w:rPr>
        <w:t xml:space="preserve">Le terme « </w:t>
      </w:r>
      <w:r w:rsidRPr="00682E50">
        <w:rPr>
          <w:rFonts w:ascii="Aptos" w:hAnsi="Aptos" w:eastAsia="Aptos" w:cs="Aptos"/>
          <w:b/>
          <w:bCs/>
          <w:u w:val="single"/>
          <w:lang w:val="en-US"/>
        </w:rPr>
        <w:t xml:space="preserve">souche fondatrice » </w:t>
      </w:r>
      <w:r w:rsidRPr="00682E50">
        <w:rPr>
          <w:rFonts w:ascii="Aptos" w:hAnsi="Aptos" w:eastAsia="Aptos" w:cs="Aptos"/>
          <w:lang w:val="en-US"/>
        </w:rPr>
        <w:t xml:space="preserve">doit être défini comme désignant les spécimens d’origine prélevés dans la nature par l’homme, dont les individus ou la progéniture sont utilisés pour produire une descendance en captivité. </w:t>
      </w:r>
    </w:p>
    <w:p w:rsidRPr="00682E50" w:rsidR="00682E50" w:rsidP="00682E50" w:rsidRDefault="00682E50" w14:paraId="21346021" w14:textId="77777777">
      <w:pPr>
        <w:pStyle w:val="ListParagraph"/>
        <w:numPr>
          <w:ilvl w:val="1"/>
          <w:numId w:val="19"/>
        </w:numPr>
        <w:spacing w:line="240" w:lineRule="auto"/>
        <w:rPr>
          <w:rFonts w:ascii="Aptos" w:hAnsi="Aptos" w:eastAsia="Aptos" w:cs="Aptos"/>
          <w:i/>
          <w:iCs/>
          <w:lang w:val="en-US"/>
        </w:rPr>
      </w:pPr>
      <w:r w:rsidRPr="00682E50">
        <w:rPr>
          <w:rFonts w:ascii="Aptos" w:hAnsi="Aptos" w:eastAsia="Aptos" w:cs="Aptos"/>
          <w:lang w:val="en-US"/>
        </w:rPr>
        <w:t xml:space="preserve">Nous notons que le terme </w:t>
      </w:r>
      <w:r w:rsidRPr="00682E50">
        <w:rPr>
          <w:rFonts w:ascii="Aptos" w:hAnsi="Aptos" w:eastAsia="Aptos" w:cs="Aptos"/>
          <w:lang w:val="en-US"/>
        </w:rPr>
        <w:t xml:space="preserve">« fondateur » est généralement défini comme une entité spécifique qui introduit ou développe quelque chose de nouveau. Dans ce contexte, nous interprétons ce terme comme désignant les individus introduisant du matériel génétique nouveau dans un pool de spécimens élevés en captivité, lesquels sont soumis à des règles (ou exemptions) différentes au titre de la CITES. Il existe une transition cruciale dans </w:t>
      </w:r>
      <w:r w:rsidRPr="00682E50">
        <w:rPr>
          <w:rFonts w:ascii="Aptos" w:hAnsi="Aptos" w:eastAsia="Aptos" w:cs="Aptos"/>
          <w:i/>
          <w:iCs/>
          <w:lang w:val="en-US"/>
        </w:rPr>
        <w:t xml:space="preserve">la réglementation </w:t>
      </w:r>
      <w:r w:rsidRPr="00682E50">
        <w:rPr>
          <w:rFonts w:ascii="Aptos" w:hAnsi="Aptos" w:eastAsia="Aptos" w:cs="Aptos"/>
          <w:lang w:val="en-US"/>
        </w:rPr>
        <w:t xml:space="preserve">des spécimens inscrits à la CITES entre ceux qui sont « d’origine sauvage » et ceux qui ne le sont pas (par exemple, élevés en captivité). Il est donc nécessaire – et nous estimons que le terme « stock fondateur » répond à ce besoin – d’identifier les spécimens qui se situent au cœur de cette transition dans les approches réglementaires.</w:t>
      </w:r>
    </w:p>
    <w:p w:rsidRPr="00682E50" w:rsidR="00682E50" w:rsidP="00682E50" w:rsidRDefault="00682E50" w14:paraId="715893C6" w14:textId="77777777">
      <w:pPr>
        <w:pStyle w:val="ListParagraph"/>
        <w:numPr>
          <w:ilvl w:val="1"/>
          <w:numId w:val="19"/>
        </w:numPr>
        <w:spacing w:line="240" w:lineRule="auto"/>
        <w:rPr>
          <w:rFonts w:ascii="Aptos" w:hAnsi="Aptos" w:eastAsia="Aptos" w:cs="Aptos"/>
          <w:lang w:val="en-US"/>
        </w:rPr>
      </w:pPr>
      <w:r w:rsidRPr="00682E50">
        <w:rPr>
          <w:rFonts w:ascii="Aptos" w:hAnsi="Aptos" w:eastAsia="Aptos" w:cs="Aptos"/>
          <w:lang w:val="en-US"/>
        </w:rPr>
        <w:t xml:space="preserve">Le terme « souche fondatrice » devrait englober les spécimens prélevés intentionnellement à des fins d’élevage en captivité et ceux qui ont été prélevés pour d’autres raisons, telles que le commerce des animaux de compagnie ou des animaux destinés aux loisirs, et qui finissent par intégrer des programmes d’élevage en captivité. Il s’agit des spécimens animaux d’origine, dans le cas de la faune, qui ont été prélevés dans la nature, même si les populations captives actuelles sont de génération F1, F2 ou au-delà.</w:t>
      </w:r>
    </w:p>
    <w:p w:rsidRPr="00682E50" w:rsidR="00682E50" w:rsidP="00682E50" w:rsidRDefault="00682E50" w14:paraId="6E29FF33" w14:textId="77777777">
      <w:pPr>
        <w:pStyle w:val="ListParagraph"/>
        <w:numPr>
          <w:ilvl w:val="1"/>
          <w:numId w:val="19"/>
        </w:numPr>
        <w:spacing w:line="240" w:lineRule="auto"/>
        <w:rPr>
          <w:rFonts w:ascii="Aptos" w:hAnsi="Aptos" w:eastAsia="Aptos" w:cs="Aptos"/>
          <w:i/>
          <w:iCs/>
          <w:lang w:val="en-US"/>
        </w:rPr>
      </w:pPr>
      <w:r w:rsidRPr="00682E50">
        <w:rPr>
          <w:rFonts w:ascii="Aptos" w:hAnsi="Aptos" w:eastAsia="Aptos" w:cs="Aptos"/>
          <w:lang w:val="en-US"/>
        </w:rPr>
        <w:t xml:space="preserve">Nous partageons l’avis de plusieurs autres commentateurs qui ont fait remarquer que « ces spécimens nécessitent une preuve documentée de capture, de collecte, de prélèvement ou de toute autre acquisition légale dans leur aire de répartition naturelle, ainsi qu’une attestation confirmant que le spécimen a été acquis d’une manière qui n’a pas nui à la survie de l’espèce à l’état sauvage ». </w:t>
      </w:r>
      <w:r w:rsidRPr="00682E50">
        <w:rPr>
          <w:rFonts w:ascii="Aptos" w:hAnsi="Aptos" w:eastAsia="Aptos" w:cs="Aptos"/>
          <w:i/>
          <w:iCs/>
          <w:lang w:val="en-US"/>
        </w:rPr>
        <w:t xml:space="preserve">Remarque : un stock fondateur obtenu illégalement rend toute descendance ou génération ultérieure également illégale, conformément au projet de lignes directrices. </w:t>
      </w:r>
    </w:p>
    <w:p w:rsidRPr="00682E50" w:rsidR="00682E50" w:rsidP="00682E50" w:rsidRDefault="00682E50" w14:paraId="5C30337F" w14:textId="77777777">
      <w:pPr>
        <w:pStyle w:val="ListParagraph"/>
        <w:numPr>
          <w:ilvl w:val="1"/>
          <w:numId w:val="19"/>
        </w:numPr>
        <w:spacing w:line="240" w:lineRule="auto"/>
        <w:rPr>
          <w:rFonts w:ascii="Aptos" w:hAnsi="Aptos" w:eastAsia="Aptos" w:cs="Aptos"/>
          <w:i/>
          <w:iCs/>
          <w:lang w:val="en-US"/>
        </w:rPr>
      </w:pPr>
      <w:r w:rsidRPr="00682E50">
        <w:rPr>
          <w:rFonts w:ascii="Aptos" w:hAnsi="Aptos" w:eastAsia="Aptos" w:cs="Aptos"/>
          <w:lang w:val="en-US"/>
        </w:rPr>
        <w:t xml:space="preserve">Notre définition est cohérente avec l’utilisation du terme « stock fondateur » dans la résolution Conf. 17.7 (Rev. CoP20), qui fait référence au </w:t>
      </w:r>
      <w:r w:rsidRPr="00682E50">
        <w:rPr>
          <w:rFonts w:ascii="Aptos" w:hAnsi="Aptos" w:eastAsia="Aptos" w:cs="Aptos"/>
          <w:i/>
          <w:iCs/>
          <w:lang w:val="en-US"/>
        </w:rPr>
        <w:t xml:space="preserve">« prélèvement de stock fondateur dans la nature ».</w:t>
      </w:r>
    </w:p>
    <w:p w:rsidRPr="00682E50" w:rsidR="00682E50" w:rsidP="00682E50" w:rsidRDefault="00682E50" w14:paraId="40348599" w14:textId="77777777">
      <w:pPr>
        <w:pStyle w:val="ListParagraph"/>
        <w:numPr>
          <w:ilvl w:val="0"/>
          <w:numId w:val="19"/>
        </w:numPr>
        <w:spacing w:line="240" w:lineRule="auto"/>
        <w:rPr>
          <w:rFonts w:ascii="Aptos" w:hAnsi="Aptos" w:eastAsia="Aptos" w:cs="Aptos"/>
        </w:rPr>
      </w:pPr>
      <w:r w:rsidRPr="00682E50">
        <w:rPr>
          <w:rFonts w:ascii="Aptos" w:hAnsi="Aptos" w:eastAsia="Aptos" w:cs="Aptos"/>
        </w:rPr>
        <w:t xml:space="preserve">Le terme « </w:t>
      </w:r>
      <w:r w:rsidRPr="00682E50">
        <w:rPr>
          <w:rFonts w:ascii="Aptos" w:hAnsi="Aptos" w:eastAsia="Aptos" w:cs="Aptos"/>
          <w:b/>
          <w:bCs/>
          <w:u w:val="single"/>
        </w:rPr>
        <w:t xml:space="preserve">stock parental » </w:t>
      </w:r>
      <w:r w:rsidRPr="00682E50">
        <w:rPr>
          <w:rFonts w:ascii="Aptos" w:hAnsi="Aptos" w:eastAsia="Aptos" w:cs="Aptos"/>
        </w:rPr>
        <w:t xml:space="preserve">devrait désigner les spécimens ayant produit la progéniture en question (le stock parental est utilisé en relation avec un ou plusieurs spécimens spécifiques inscrits à la CITES). Il s’agit en théorie d’un terme spécifique à un spécimen ou à une cohorte, bien qu’il ait été utilisé jusqu’à présent principalement dans le contexte d’un environnement contrôlé unique. </w:t>
      </w:r>
    </w:p>
    <w:p w:rsidRPr="00682E50" w:rsidR="00682E50" w:rsidP="00682E50" w:rsidRDefault="00682E50" w14:paraId="39F61F17" w14:textId="77777777">
      <w:pPr>
        <w:spacing w:line="240" w:lineRule="auto"/>
        <w:rPr>
          <w:rFonts w:ascii="Aptos" w:hAnsi="Aptos" w:eastAsia="Aptos" w:cs="Aptos"/>
          <w:lang w:val="en-US"/>
        </w:rPr>
      </w:pPr>
    </w:p>
    <w:p w:rsidRPr="00682E50" w:rsidR="00682E50" w:rsidP="00682E50" w:rsidRDefault="00682E50" w14:paraId="32138D66" w14:textId="77777777">
      <w:pPr>
        <w:spacing w:line="240" w:lineRule="auto"/>
        <w:rPr>
          <w:rFonts w:ascii="Aptos" w:hAnsi="Aptos"/>
        </w:rPr>
      </w:pPr>
      <w:r w:rsidRPr="00682E50">
        <w:rPr>
          <w:rFonts w:ascii="Aptos" w:hAnsi="Aptos" w:eastAsia="Aptos" w:cs="Aptos"/>
          <w:lang w:val="en-US"/>
        </w:rPr>
        <w:t xml:space="preserve">La WCS se réjouit de rejoindre le groupe de travail de session, dont la réunion est prévue lors de la 81e session du Comité de conservation (SC81), et de contribuer à l’élaboration d’une définition commune de la notion de « souche fondatrice ». </w:t>
      </w:r>
    </w:p>
    <w:p w:rsidRPr="00682E50" w:rsidR="00682E50" w:rsidP="00682E50" w:rsidRDefault="00682E50" w14:paraId="332445F1" w14:textId="77777777">
      <w:pPr>
        <w:spacing w:line="240" w:lineRule="auto"/>
        <w:rPr>
          <w:rFonts w:ascii="Aptos" w:hAnsi="Aptos" w:eastAsia="Aptos" w:cs="Aptos"/>
        </w:rPr>
      </w:pPr>
    </w:p>
    <w:p w:rsidRPr="00682E50" w:rsidR="00682E50" w:rsidP="00682E50" w:rsidRDefault="00682E50" w14:paraId="119BF7C2" w14:textId="1A5CD056">
      <w:pPr>
        <w:pStyle w:val="Heading1"/>
        <w:rPr>
          <w:rFonts w:ascii="Aptos" w:hAnsi="Aptos"/>
          <w:sz w:val="22"/>
          <w:szCs w:val="22"/>
        </w:rPr>
      </w:pPr>
      <w:bookmarkStart w:name="_43.2._Report_of" w:id="115"/>
      <w:bookmarkStart w:name="_Toc242564019" w:id="116"/>
      <w:bookmarkEnd w:id="115"/>
      <w:r w:rsidRPr="00682E50">
        <w:rPr>
          <w:rFonts w:ascii="Aptos" w:hAnsi="Aptos"/>
          <w:sz w:val="22"/>
          <w:szCs w:val="22"/>
        </w:rPr>
        <w:t xml:space="preserve">43.</w:t>
      </w:r>
      <w:bookmarkStart w:name="___2._Report" w:id="117"/>
      <w:r w:rsidRPr="00682E50">
        <w:rPr>
          <w:rFonts w:ascii="Aptos" w:hAnsi="Aptos"/>
          <w:sz w:val="22"/>
          <w:szCs w:val="22"/>
        </w:rPr>
        <w:t xml:space="preserve"> 2 </w:t>
      </w:r>
      <w:r w:rsidR="00395EA8">
        <w:rPr>
          <w:rFonts w:ascii="Aptos" w:hAnsi="Aptos"/>
          <w:sz w:val="22"/>
          <w:szCs w:val="22"/>
        </w:rPr>
        <w:t xml:space="preserve">: </w:t>
      </w:r>
      <w:hyperlink r:id="rId49">
        <w:r w:rsidRPr="00682E50">
          <w:rPr>
            <w:rStyle w:val="Hyperlink"/>
            <w:rFonts w:ascii="Aptos" w:hAnsi="Aptos"/>
            <w:sz w:val="22"/>
            <w:szCs w:val="22"/>
          </w:rPr>
          <w:t xml:space="preserve">Rapport du Secrétariat (décision 20.110)</w:t>
        </w:r>
        <w:bookmarkEnd w:id="116"/>
        <w:bookmarkEnd w:id="117"/>
      </w:hyperlink>
      <w:r w:rsidRPr="00682E50">
        <w:rPr>
          <w:rFonts w:ascii="Aptos" w:hAnsi="Aptos"/>
          <w:sz w:val="22"/>
          <w:szCs w:val="22"/>
        </w:rPr>
        <w:t xml:space="preserve"> </w:t>
      </w:r>
    </w:p>
    <w:p w:rsidR="00682E50" w:rsidP="00682E50" w:rsidRDefault="00682E50" w14:paraId="4C3F54D4" w14:textId="77777777">
      <w:pPr>
        <w:pStyle w:val="SC81Normal"/>
        <w:spacing w:after="0"/>
      </w:pPr>
    </w:p>
    <w:p w:rsidR="00682E50" w:rsidP="00682E50" w:rsidRDefault="00682E50" w14:paraId="277C92B6" w14:textId="49D6B089">
      <w:pPr>
        <w:pStyle w:val="SC81Normal"/>
        <w:spacing w:after="0"/>
      </w:pPr>
      <w:r w:rsidRPr="00682E50">
        <w:t xml:space="preserve">Nous saluons les efforts déployés par le Secrétariat pour tenir à jour la page « Conclusions relatives à l’acquisition légale » (LAF) sur le site web de la CITES, qui peut devenir un point nodal essentiel pour le partage d’informations. </w:t>
      </w:r>
    </w:p>
    <w:p w:rsidRPr="00682E50" w:rsidR="00682E50" w:rsidP="00682E50" w:rsidRDefault="00682E50" w14:paraId="185FDFED" w14:textId="77777777">
      <w:pPr>
        <w:pStyle w:val="SC81Normal"/>
        <w:spacing w:after="0"/>
      </w:pPr>
    </w:p>
    <w:p w:rsidRPr="00682E50" w:rsidR="00682E50" w:rsidP="00682E50" w:rsidRDefault="00682E50" w14:paraId="711523A9" w14:textId="77777777">
      <w:pPr>
        <w:pStyle w:val="SC81Normal"/>
        <w:spacing w:after="0"/>
      </w:pPr>
      <w:r w:rsidRPr="00682E50">
        <w:t xml:space="preserve">Nous encourageons les Parties à continuer de soumettre des informations supplémentaires sur l’existence, l’adoption ou la modification de mesures nationales plus strictes concernant la gestion des espèces inscrites à la CITES et originaires de leur juridiction, et en particulier des espèces endémiques (qui devraient ensuite être mises en ligne sur les pages de profil des pays). </w:t>
      </w:r>
    </w:p>
    <w:p w:rsidR="00682E50" w:rsidP="00682E50" w:rsidRDefault="00682E50" w14:paraId="680395A8" w14:textId="77777777">
      <w:pPr>
        <w:pStyle w:val="SC81Normal"/>
        <w:spacing w:after="0"/>
      </w:pPr>
    </w:p>
    <w:p w:rsidRPr="00682E50" w:rsidR="00682E50" w:rsidP="00682E50" w:rsidRDefault="00682E50" w14:paraId="5305F88A" w14:textId="34A639C9">
      <w:pPr>
        <w:pStyle w:val="SC81Normal"/>
        <w:spacing w:after="0"/>
      </w:pPr>
      <w:r w:rsidRPr="00682E50">
        <w:lastRenderedPageBreak/>
      </w:r>
      <w:r w:rsidRPr="00682E50">
        <w:t xml:space="preserve">Il pourrait être utile de modifier les orientations de la CITES relatives à l’établissement des conclusions sur l’acquisition légale, annexées à la résolution Conf. 18.7 (Rev. CoP20), afin d’aborder spécifiquement les exigences en matière de preuve lors de l’examen de mesures nationales plus strictes. </w:t>
      </w:r>
    </w:p>
    <w:p w:rsidR="00682E50" w:rsidP="00682E50" w:rsidRDefault="00682E50" w14:paraId="271CA06C" w14:textId="77777777">
      <w:pPr>
        <w:spacing w:line="240" w:lineRule="auto"/>
        <w:rPr>
          <w:rFonts w:ascii="Aptos" w:hAnsi="Aptos" w:eastAsia="Aptos" w:cs="Aptos"/>
          <w:lang w:val="en-US"/>
        </w:rPr>
      </w:pPr>
    </w:p>
    <w:p w:rsidRPr="00682E50" w:rsidR="00682E50" w:rsidP="00682E50" w:rsidRDefault="00682E50" w14:paraId="394A52FA" w14:textId="77777777">
      <w:pPr>
        <w:spacing w:line="240" w:lineRule="auto"/>
        <w:rPr>
          <w:rFonts w:ascii="Aptos" w:hAnsi="Aptos" w:eastAsia="Aptos" w:cs="Aptos"/>
          <w:lang w:val="en-US"/>
        </w:rPr>
      </w:pPr>
    </w:p>
    <w:p w:rsidRPr="00682E50" w:rsidR="00682E50" w:rsidP="00682E50" w:rsidRDefault="00682E50" w14:paraId="1043245B" w14:textId="2B6E8CC1">
      <w:pPr>
        <w:spacing w:line="240" w:lineRule="auto"/>
        <w:rPr>
          <w:rFonts w:ascii="Aptos" w:hAnsi="Aptos"/>
        </w:rPr>
      </w:pPr>
      <w:r w:rsidRPr="00682E50">
        <w:rPr>
          <w:rFonts w:ascii="Aptos" w:hAnsi="Aptos" w:eastAsia="Aptos" w:cs="Aptos"/>
          <w:b/>
          <w:bCs/>
        </w:rPr>
        <w:t xml:space="preserve">45 </w:t>
      </w:r>
      <w:r w:rsidR="00395EA8">
        <w:rPr>
          <w:rFonts w:ascii="Aptos" w:hAnsi="Aptos" w:eastAsia="Aptos" w:cs="Aptos"/>
          <w:b/>
          <w:bCs/>
        </w:rPr>
        <w:t xml:space="preserve">: </w:t>
      </w:r>
      <w:hyperlink r:id="rId50">
        <w:r w:rsidRPr="00682E50">
          <w:rPr>
            <w:rStyle w:val="Hyperlink"/>
            <w:rFonts w:ascii="Aptos" w:hAnsi="Aptos"/>
            <w:b/>
            <w:bCs/>
          </w:rPr>
          <w:t xml:space="preserve">Introduction depuis la mer (IFS) (Décision 20.118)</w:t>
        </w:r>
      </w:hyperlink>
      <w:r w:rsidRPr="00682E50">
        <w:rPr>
          <w:rFonts w:ascii="Aptos" w:hAnsi="Aptos" w:eastAsia="Aptos" w:cs="Aptos"/>
          <w:b/>
          <w:bCs/>
        </w:rPr>
        <w:t xml:space="preserve">  </w:t>
      </w:r>
    </w:p>
    <w:p w:rsidR="00682E50" w:rsidP="00682E50" w:rsidRDefault="00682E50" w14:paraId="791DFA80" w14:textId="77777777">
      <w:pPr>
        <w:pStyle w:val="SC81Normal"/>
        <w:spacing w:after="0"/>
      </w:pPr>
    </w:p>
    <w:p w:rsidRPr="00682E50" w:rsidR="00682E50" w:rsidP="00682E50" w:rsidRDefault="00682E50" w14:paraId="7AD677B8" w14:textId="735E0620">
      <w:pPr>
        <w:pStyle w:val="SC81Normal"/>
        <w:spacing w:after="0"/>
      </w:pPr>
      <w:r w:rsidRPr="00682E50">
        <w:t xml:space="preserve">La WCS salue l’attention portée par les Parties à la mise en œuvre de leurs obligations relatives aux spécimens prélevés dans les zones situées au-delà de la juridiction nationale (ABNJ), et nous nous réjouissons de poursuivre notre collaboration avec les Parties et le Secrétariat afin de contribuer à garantir une mise en œuvre efficace de la CITES pour les spécimens prélevés dans les ABNJ.  </w:t>
      </w:r>
    </w:p>
    <w:p w:rsidR="00682E50" w:rsidP="00682E50" w:rsidRDefault="00682E50" w14:paraId="7974F16A" w14:textId="77777777">
      <w:pPr>
        <w:pStyle w:val="SC81Normal"/>
        <w:spacing w:after="0"/>
      </w:pPr>
    </w:p>
    <w:p w:rsidRPr="00682E50" w:rsidR="00682E50" w:rsidP="00682E50" w:rsidRDefault="00682E50" w14:paraId="10BBC4AF" w14:textId="0E1FEA87">
      <w:pPr>
        <w:pStyle w:val="SC81Normal"/>
        <w:spacing w:after="0"/>
      </w:pPr>
      <w:r w:rsidRPr="00682E50">
        <w:t xml:space="preserve">Nous saluons tous les efforts déployés et le travail de recherche de consensus qui ont permis l’adoption de la résolution Conf. 14.6 (Rev. CoP16). Nous reconnaissons que des progrès supplémentaires sont nécessaires dans la mise en œuvre de cette résolution et des exigences de la CITES qui y sont associées, pour les spécimens prélevés dans les zones situées au-delà des limites nationales (ABNJ). Nous ne sommes pas convaincus qu’une analyse suffisante ait été menée pour justifier la révision de la résolution Conf. 14.6 (Rev. CoP16), au-delà des clarifications, des mises à jour et de l’amélioration des orientations. Nous exhortons vivement le Comité de conservation (SC) et les Parties à ne pas modifier les éléments fondamentaux de la résolution, fruit d’années de débats, concernant les cas où un certificat IFS doit être délivré par opposition à ceux où un permis d’exportation doit l’être, pour les spécimens prélevés dans les zones situées au-delà des limites territoriales nationales (ABNJ).  </w:t>
      </w:r>
    </w:p>
    <w:p w:rsidR="00682E50" w:rsidP="00682E50" w:rsidRDefault="00682E50" w14:paraId="3FBF8CFD" w14:textId="77777777">
      <w:pPr>
        <w:pStyle w:val="SC81Normal"/>
        <w:spacing w:after="0"/>
      </w:pPr>
    </w:p>
    <w:p w:rsidRPr="00682E50" w:rsidR="00682E50" w:rsidP="00682E50" w:rsidRDefault="00682E50" w14:paraId="0E752433" w14:textId="165E6E70">
      <w:pPr>
        <w:pStyle w:val="SC81Normal"/>
        <w:spacing w:after="0"/>
      </w:pPr>
      <w:r w:rsidRPr="00682E50">
        <w:t xml:space="preserve">La WCS se félicite d’avoir eu l’occasion de formuler des observations sur la Notification aux Parties n° 2026/054, ainsi que de voir ses commentaires inclus dans le résumé figurant à l’annexe du document 45. Nous attendons avec intérêt la publication du document d’information contenant l’ensemble des commentaires reçus. Nous apprécions les contributions des Parties et des autres observateurs qui ont formulé des commentaires, mais nous sommes déçus que seules 18 Parties aient soumis des commentaires. Grâce à notre travail national et régional sur la conservation et la gestion des espèces marines faisant l’objet d’un commerce international, la WCS est pleinement consciente que de nombreuses Parties sont confrontées à des difficultés pour mettre en œuvre efficacement les dispositions de l’IFS et qu’un soutien supplémentaire pourrait être nécessaire.</w:t>
      </w:r>
    </w:p>
    <w:p w:rsidR="00682E50" w:rsidP="00682E50" w:rsidRDefault="00682E50" w14:paraId="703C46B5" w14:textId="77777777">
      <w:pPr>
        <w:pStyle w:val="SC81Normal"/>
        <w:spacing w:after="0"/>
      </w:pPr>
    </w:p>
    <w:p w:rsidRPr="00682E50" w:rsidR="00682E50" w:rsidP="00682E50" w:rsidRDefault="00682E50" w14:paraId="3EFA7BF7" w14:textId="329098A2">
      <w:pPr>
        <w:pStyle w:val="SC81Normal"/>
        <w:spacing w:after="0"/>
      </w:pPr>
      <w:r w:rsidRPr="00682E50">
        <w:t xml:space="preserve">Nous apprécions que le Secrétariat ait inclus, dans son résumé, notre observation selon laquelle, dans certaines Parties, la législation nationale est insuffisante pour mettre en œuvre efficacement l’IFS, et en particulier les dispositions de la résolution Conf. 14.6 (Rev. CoP16). Le projet « Législation nationale CITES » ne comble pas cette lacune ; par conséquent, certaines Parties peuvent être considérées comme disposant d’une législation suffisante, alors qu’elles ne disposent pas d’une législation traitant efficacement de la capture d’espèces inscrites à la CITES dans les zones situées au-delà des limites territoriales nationales (ABNJ). Nous recommandons que le projet « Législation nationale » aborde plus spécifiquement la question de la conformité en matière de commerce des spécimens capturés dans les zones ABNJ et de la mise en œuvre des obligations de la CITES relatives aux mesures d’application internationales. </w:t>
      </w:r>
    </w:p>
    <w:p w:rsidRPr="00682E50" w:rsidR="00682E50" w:rsidP="00682E50" w:rsidRDefault="00682E50" w14:paraId="2A72787E" w14:textId="77777777">
      <w:pPr>
        <w:spacing w:line="240" w:lineRule="auto"/>
        <w:rPr>
          <w:rFonts w:ascii="Aptos" w:hAnsi="Aptos" w:eastAsia="Aptos" w:cs="Aptos"/>
        </w:rPr>
      </w:pPr>
      <w:r w:rsidRPr="00682E50">
        <w:rPr>
          <w:rFonts w:ascii="Aptos" w:hAnsi="Aptos" w:eastAsia="Aptos" w:cs="Aptos"/>
        </w:rPr>
        <w:t xml:space="preserve"> </w:t>
      </w:r>
    </w:p>
    <w:p w:rsidRPr="00682E50" w:rsidR="00682E50" w:rsidP="00682E50" w:rsidRDefault="00682E50" w14:paraId="04853160" w14:textId="77777777">
      <w:pPr>
        <w:pStyle w:val="SC81Normal"/>
        <w:spacing w:after="0"/>
      </w:pPr>
      <w:r w:rsidRPr="00682E50">
        <w:t xml:space="preserve">La WCS estime que ces questions ne concernent pas seulement la compréhension par les Parties de leurs obligations relatives aux spécimens prélevés dans les zones situées au-delà des limites territoriales (ABNJ), mais aussi le respect de ces obligations et leur application par les États du pavillon et les États du port, ainsi que par les pays exportateurs et importateurs. Plutôt que de se concentrer sur la modification de la résolution Conf. 14.6 (Rev. CoP16), nous recommandons de mettre davantage l’accent sur la mise en œuvre de la Convention pour les spécimens prélevés dans les zones situées au-delà des limites territoriales (ABNJ) et de garantir la conformité — notamment par la délivrance de permis ou de certificats CITES appropriés et les conclusions requises par les Parties dont les navires opèrent dans les zones ABNJ, ainsi que par l’application des exigences de la CITES par les Parties. </w:t>
      </w:r>
    </w:p>
    <w:p w:rsidR="00682E50" w:rsidP="00682E50" w:rsidRDefault="00682E50" w14:paraId="41BC9716" w14:textId="77777777">
      <w:pPr>
        <w:pStyle w:val="SC81Normal"/>
        <w:spacing w:after="0"/>
      </w:pPr>
    </w:p>
    <w:p w:rsidRPr="00682E50" w:rsidR="00682E50" w:rsidP="00682E50" w:rsidRDefault="00682E50" w14:paraId="04C3DAD0" w14:textId="53716F03">
      <w:pPr>
        <w:pStyle w:val="SC81Normal"/>
        <w:spacing w:after="0"/>
      </w:pPr>
      <w:r w:rsidRPr="00682E50">
        <w:t xml:space="preserve">La WCS se réjouit d’être membre du groupe de travail intersessionnel (GT) du Comité permanent sur cette question cruciale. Nous soutenons les recommandations du Secrétariat figurant dans ce </w:t>
      </w:r>
      <w:r w:rsidRPr="00682E50">
        <w:t xml:space="preserve">document d’</w:t>
      </w:r>
      <w:r w:rsidRPr="00682E50">
        <w:lastRenderedPageBreak/>
      </w:r>
      <w:r w:rsidRPr="00682E50">
        <w:t xml:space="preserve"> , ainsi que les travaux en cours du GT. Nous nous réjouissons à l’idée de pouvoir partager notre expertise dans le cadre de l’atelier technique proposé. Nous tenons toutefois à souligner que nous ne sommes pas d’accord pour que le soutien apporté par le Secrétariat au GT (organisation de réunions, etc.) ne soit possible qu’en fonction de financements externes. Bien que nous encouragions toujours un financement accru, compte tenu du nombre croissant d’espèces marines inscrites aux annexes, du souhait des Parties de disposer d’orientations claires et des défis persistants en matière de conformité, nous considérons ce travail comme une fonction essentielle du Secrétariat. </w:t>
      </w:r>
    </w:p>
    <w:p w:rsidR="00682E50" w:rsidP="00682E50" w:rsidRDefault="00682E50" w14:paraId="68AE141C" w14:textId="77777777">
      <w:pPr>
        <w:spacing w:line="240" w:lineRule="auto"/>
        <w:rPr>
          <w:rFonts w:ascii="Aptos" w:hAnsi="Aptos" w:eastAsia="Aptos" w:cs="Aptos"/>
        </w:rPr>
      </w:pPr>
    </w:p>
    <w:p w:rsidRPr="00682E50" w:rsidR="00395EA8" w:rsidP="00682E50" w:rsidRDefault="00395EA8" w14:paraId="7982A305" w14:textId="77777777">
      <w:pPr>
        <w:spacing w:line="240" w:lineRule="auto"/>
        <w:rPr>
          <w:rFonts w:ascii="Aptos" w:hAnsi="Aptos" w:eastAsia="Aptos" w:cs="Aptos"/>
        </w:rPr>
      </w:pPr>
    </w:p>
    <w:p w:rsidRPr="00682E50" w:rsidR="00682E50" w:rsidP="00682E50" w:rsidRDefault="00395EA8" w14:paraId="79465900" w14:textId="05CFF598">
      <w:pPr>
        <w:pStyle w:val="Heading1"/>
        <w:rPr>
          <w:rFonts w:ascii="Aptos" w:hAnsi="Aptos"/>
          <w:sz w:val="22"/>
          <w:szCs w:val="22"/>
        </w:rPr>
      </w:pPr>
      <w:bookmarkStart w:name="_46._Guidance_related" w:id="118"/>
      <w:bookmarkStart w:name="_Guidance_related_to" w:id="119"/>
      <w:bookmarkEnd w:id="118"/>
      <w:r>
        <w:rPr>
          <w:rFonts w:ascii="Aptos" w:hAnsi="Aptos"/>
          <w:sz w:val="22"/>
          <w:szCs w:val="22"/>
        </w:rPr>
        <w:t xml:space="preserve">46 :</w:t>
      </w:r>
      <w:bookmarkStart w:name="_Toc242564020" w:id="120"/>
      <w:r>
        <w:rPr>
          <w:rFonts w:ascii="Aptos" w:hAnsi="Aptos"/>
          <w:sz w:val="22"/>
          <w:szCs w:val="22"/>
        </w:rPr>
        <w:fldChar w:fldCharType="begin"/>
      </w:r>
      <w:r>
        <w:rPr>
          <w:rFonts w:ascii="Aptos" w:hAnsi="Aptos"/>
          <w:sz w:val="22"/>
          <w:szCs w:val="22"/>
        </w:rPr>
        <w:instrText>HYPERLINK "https://cites.org/sites/default/files/documents/SC/81/agenda/E-SC81-46.pdf"</w:instrText>
      </w:r>
      <w:r>
        <w:rPr>
          <w:rFonts w:ascii="Aptos" w:hAnsi="Aptos"/>
          <w:sz w:val="22"/>
          <w:szCs w:val="22"/>
        </w:rPr>
        <w:fldChar w:fldCharType="separate"/>
      </w:r>
      <w:r w:rsidRPr="00395EA8" w:rsidR="00682E50">
        <w:rPr>
          <w:rStyle w:val="Hyperlink"/>
          <w:rFonts w:ascii="Aptos" w:hAnsi="Aptos"/>
          <w:sz w:val="22"/>
          <w:szCs w:val="22"/>
        </w:rPr>
        <w:t xml:space="preserve"> Orientations relatives aux périodes de transition (décision 20.119)</w:t>
      </w:r>
      <w:bookmarkEnd w:id="119"/>
      <w:bookmarkEnd w:id="120"/>
      <w:r w:rsidRPr="00395EA8" w:rsidR="00682E50">
        <w:rPr>
          <w:rStyle w:val="Hyperlink"/>
          <w:rFonts w:ascii="Aptos" w:hAnsi="Aptos"/>
          <w:sz w:val="22"/>
          <w:szCs w:val="22"/>
        </w:rPr>
        <w:t xml:space="preserve"> </w:t>
      </w:r>
      <w:r>
        <w:rPr>
          <w:rFonts w:ascii="Aptos" w:hAnsi="Aptos"/>
          <w:sz w:val="22"/>
          <w:szCs w:val="22"/>
        </w:rPr>
        <w:fldChar w:fldCharType="end"/>
      </w:r>
    </w:p>
    <w:p w:rsidR="00682E50" w:rsidP="00682E50" w:rsidRDefault="00682E50" w14:paraId="591E05A4" w14:textId="77777777">
      <w:pPr>
        <w:pStyle w:val="SC81Normal"/>
        <w:spacing w:after="0"/>
      </w:pPr>
    </w:p>
    <w:p w:rsidRPr="00682E50" w:rsidR="00682E50" w:rsidP="00682E50" w:rsidRDefault="00682E50" w14:paraId="1AD1453F" w14:textId="7AFD0E64">
      <w:pPr>
        <w:pStyle w:val="SC81Normal"/>
        <w:spacing w:after="0"/>
      </w:pPr>
      <w:r w:rsidRPr="00682E50">
        <w:t xml:space="preserve">Nous convenons qu’il s’agit d’une question complexe et qu’elle nécessite un examen plus approfondi. Nous estimons que le projet de lignes directrices est acceptable et qu’il devrait être maintenu sur le site web de la CITES. Il est essentiel que les exigences relatives aux documents CITES, tant au moment de l’exportation que de l’importation, soient respectées conformément à la Convention. Nous craignons que certaines Parties n’autorisent des importations après la date d’entrée en vigueur de l’inscription d’une espèce aux annexes, sans les documents CITES requis. Cela contrevient au texte de la Convention. Nous exhortons les Parties à fournir des instructions claires à leurs services douaniers et à leurs forces de l’ordre à cet égard. Nous exhortons les Parties à ne pas adopter ni soutenir d’options qui permettraient le commerce de spécimens CITES sans les permis ou certificats CITES requis, à compter de la date d’entrée en vigueur de l’inscription d’une espèce aux annexes.</w:t>
      </w:r>
    </w:p>
    <w:p w:rsidR="00682E50" w:rsidP="00682E50" w:rsidRDefault="00682E50" w14:paraId="664B3C54" w14:textId="77777777">
      <w:pPr>
        <w:pStyle w:val="SC81Normal"/>
        <w:spacing w:after="0"/>
      </w:pPr>
    </w:p>
    <w:p w:rsidRPr="00682E50" w:rsidR="00682E50" w:rsidP="00682E50" w:rsidRDefault="00682E50" w14:paraId="695A391B" w14:textId="6FCB5365">
      <w:pPr>
        <w:pStyle w:val="SC81Normal"/>
        <w:spacing w:after="0"/>
      </w:pPr>
      <w:r w:rsidRPr="00682E50">
        <w:t xml:space="preserve">Nous soutiendrions des amendements à la résolution Conf. 12.3 (Rev. CoP20) relative aux permis et certificats afin d’y intégrer certains aspects des orientations concernant les périodes de transition, à condition que les options proposées soient conformes à la Convention. Nous recommandons au Comité de conservation (SC) d’appuyer les recommandations du Secrétariat figurant au paragraphe 10 du document.</w:t>
      </w:r>
    </w:p>
    <w:p w:rsidR="00682E50" w:rsidP="00682E50" w:rsidRDefault="00682E50" w14:paraId="454DBBFE" w14:textId="77777777">
      <w:pPr>
        <w:spacing w:line="240" w:lineRule="auto"/>
        <w:rPr>
          <w:rFonts w:ascii="Aptos" w:hAnsi="Aptos" w:eastAsia="Aptos" w:cs="Aptos"/>
        </w:rPr>
      </w:pPr>
    </w:p>
    <w:p w:rsidRPr="00682E50" w:rsidR="00682E50" w:rsidP="00682E50" w:rsidRDefault="00682E50" w14:paraId="65EE7FDD" w14:textId="77777777">
      <w:pPr>
        <w:spacing w:line="240" w:lineRule="auto"/>
        <w:rPr>
          <w:rFonts w:ascii="Aptos" w:hAnsi="Aptos" w:eastAsia="Aptos" w:cs="Aptos"/>
        </w:rPr>
      </w:pPr>
    </w:p>
    <w:p w:rsidRPr="00682E50" w:rsidR="00682E50" w:rsidP="00682E50" w:rsidRDefault="00395EA8" w14:paraId="5231CA6D" w14:textId="125C87CE">
      <w:pPr>
        <w:pStyle w:val="Heading1"/>
        <w:rPr>
          <w:rFonts w:ascii="Aptos" w:hAnsi="Aptos"/>
          <w:sz w:val="22"/>
          <w:szCs w:val="22"/>
        </w:rPr>
      </w:pPr>
      <w:bookmarkStart w:name="_48._Electronic_systems" w:id="121"/>
      <w:bookmarkStart w:name="_Electronic_systems_and" w:id="122"/>
      <w:bookmarkEnd w:id="121"/>
      <w:r>
        <w:rPr>
          <w:rFonts w:ascii="Aptos" w:hAnsi="Aptos"/>
          <w:sz w:val="22"/>
          <w:szCs w:val="22"/>
        </w:rPr>
        <w:t xml:space="preserve">48 :</w:t>
      </w:r>
      <w:hyperlink w:history="1" r:id="rId51">
        <w:bookmarkStart w:name="_Toc242564021" w:id="123"/>
        <w:r w:rsidRPr="00682E50" w:rsidR="00682E50">
          <w:rPr>
            <w:rStyle w:val="Hyperlink"/>
            <w:rFonts w:ascii="Aptos" w:hAnsi="Aptos"/>
            <w:sz w:val="22"/>
            <w:szCs w:val="22"/>
          </w:rPr>
          <w:t xml:space="preserve"> Systèmes électroniques et technologies de l’information (Décision 20.128)</w:t>
        </w:r>
        <w:bookmarkEnd w:id="122"/>
        <w:bookmarkEnd w:id="123"/>
      </w:hyperlink>
      <w:r w:rsidRPr="00682E50" w:rsidR="00682E50">
        <w:rPr>
          <w:rFonts w:ascii="Aptos" w:hAnsi="Aptos"/>
          <w:sz w:val="22"/>
          <w:szCs w:val="22"/>
        </w:rPr>
        <w:t xml:space="preserve"> </w:t>
      </w:r>
    </w:p>
    <w:p w:rsidR="00682E50" w:rsidP="00682E50" w:rsidRDefault="00682E50" w14:paraId="5F91C477" w14:textId="77777777">
      <w:pPr>
        <w:spacing w:line="240" w:lineRule="auto"/>
        <w:rPr>
          <w:rFonts w:ascii="Aptos" w:hAnsi="Aptos" w:eastAsia="Aptos" w:cs="Aptos"/>
          <w:color w:val="000000" w:themeColor="text1"/>
          <w:lang w:val="en-US"/>
        </w:rPr>
      </w:pPr>
      <w:bookmarkStart w:name="_Rapid_movement_of" w:id="124"/>
    </w:p>
    <w:p w:rsidRPr="00682E50" w:rsidR="00682E50" w:rsidP="00682E50" w:rsidRDefault="00682E50" w14:paraId="5B2F988E" w14:textId="6F565F45">
      <w:pPr>
        <w:spacing w:line="240" w:lineRule="auto"/>
        <w:rPr>
          <w:rFonts w:ascii="Aptos" w:hAnsi="Aptos" w:eastAsia="Aptos" w:cs="Aptos"/>
          <w:color w:val="000000" w:themeColor="text1"/>
          <w:lang w:val="en-US"/>
        </w:rPr>
      </w:pPr>
      <w:r w:rsidRPr="00682E50">
        <w:rPr>
          <w:rFonts w:ascii="Aptos" w:hAnsi="Aptos" w:eastAsia="Aptos" w:cs="Aptos"/>
          <w:color w:val="000000" w:themeColor="text1"/>
          <w:lang w:val="en-US"/>
        </w:rPr>
        <w:t xml:space="preserve">La WCS prend note des progrès réalisés sur cette question par le groupe de travail et par le Secrétariat. La WCS est membre du groupe de travail et se tient prête à apporter son soutien et à fournir des informations au groupe ainsi qu’au consultant engagé par le Secrétariat. La WCS a récemment reçu les questions du consultant et apporte sa contribution ; elle encourage toutes les Parties à s’impliquer dans ces travaux, car les systèmes électroniques de délivrance de permis CITES constituent un élément essentiel pour réduire les risques de fraude et d’utilisation abusive des permis, et nous encourageons toutes les Parties à œuvrer en faveur de l’adoption des systèmes disponibles.</w:t>
      </w:r>
    </w:p>
    <w:bookmarkEnd w:id="124"/>
    <w:p w:rsidR="00682E50" w:rsidP="00682E50" w:rsidRDefault="00682E50" w14:paraId="4BFC5B13" w14:textId="77777777">
      <w:pPr>
        <w:spacing w:line="240" w:lineRule="auto"/>
        <w:rPr>
          <w:rFonts w:ascii="Aptos" w:hAnsi="Aptos" w:eastAsia="Aptos" w:cs="Aptos"/>
        </w:rPr>
      </w:pPr>
    </w:p>
    <w:p w:rsidRPr="00682E50" w:rsidR="00682E50" w:rsidP="00682E50" w:rsidRDefault="00682E50" w14:paraId="1A5342E7" w14:textId="77777777">
      <w:pPr>
        <w:spacing w:line="240" w:lineRule="auto"/>
        <w:rPr>
          <w:rFonts w:ascii="Aptos" w:hAnsi="Aptos" w:eastAsia="Aptos" w:cs="Aptos"/>
        </w:rPr>
      </w:pPr>
    </w:p>
    <w:p w:rsidRPr="00682E50" w:rsidR="00682E50" w:rsidP="00682E50" w:rsidRDefault="00395EA8" w14:paraId="2B3EB96D" w14:textId="1CB62FF9">
      <w:pPr>
        <w:pStyle w:val="Heading1"/>
        <w:rPr>
          <w:rFonts w:ascii="Aptos" w:hAnsi="Aptos"/>
          <w:sz w:val="22"/>
          <w:szCs w:val="22"/>
        </w:rPr>
      </w:pPr>
      <w:bookmarkStart w:name="_51._Specimens_produced" w:id="125"/>
      <w:bookmarkStart w:name="_Specimens_produced_through" w:id="126"/>
      <w:bookmarkEnd w:id="125"/>
      <w:r>
        <w:rPr>
          <w:rFonts w:ascii="Aptos" w:hAnsi="Aptos"/>
          <w:sz w:val="22"/>
          <w:szCs w:val="22"/>
        </w:rPr>
        <w:t xml:space="preserve">51 :</w:t>
      </w:r>
      <w:hyperlink w:history="1" r:id="rId52">
        <w:bookmarkStart w:name="_Toc242564022" w:id="127"/>
        <w:r w:rsidRPr="00682E50" w:rsidR="00682E50">
          <w:rPr>
            <w:rStyle w:val="Hyperlink"/>
            <w:rFonts w:ascii="Aptos" w:hAnsi="Aptos"/>
            <w:sz w:val="22"/>
            <w:szCs w:val="22"/>
          </w:rPr>
          <w:t xml:space="preserve"> Spécimens issus de la biotechnologie [Décision 19.161 (Rev. CoP20)]</w:t>
        </w:r>
        <w:bookmarkEnd w:id="126"/>
        <w:bookmarkEnd w:id="127"/>
      </w:hyperlink>
      <w:r w:rsidRPr="00682E50" w:rsidR="00682E50">
        <w:rPr>
          <w:rFonts w:ascii="Aptos" w:hAnsi="Aptos"/>
          <w:sz w:val="22"/>
          <w:szCs w:val="22"/>
        </w:rPr>
        <w:t xml:space="preserve"> </w:t>
      </w:r>
    </w:p>
    <w:p w:rsidR="00682E50" w:rsidP="00682E50" w:rsidRDefault="00682E50" w14:paraId="64178018" w14:textId="77777777">
      <w:pPr>
        <w:spacing w:line="240" w:lineRule="auto"/>
        <w:rPr>
          <w:rFonts w:ascii="Aptos" w:hAnsi="Aptos" w:eastAsia="Aptos" w:cs="Aptos"/>
          <w:lang w:val="en-US"/>
        </w:rPr>
      </w:pPr>
      <w:bookmarkStart w:name="_Disposal_of_confiscated" w:id="128"/>
    </w:p>
    <w:p w:rsidRPr="00682E50" w:rsidR="00682E50" w:rsidP="00682E50" w:rsidRDefault="00682E50" w14:paraId="205C560D" w14:textId="073A5690">
      <w:pPr>
        <w:spacing w:line="240" w:lineRule="auto"/>
        <w:rPr>
          <w:rFonts w:ascii="Aptos" w:hAnsi="Aptos" w:eastAsia="Aptos" w:cs="Aptos"/>
          <w:lang w:val="en-US"/>
        </w:rPr>
      </w:pPr>
      <w:r w:rsidRPr="00682E50">
        <w:rPr>
          <w:rFonts w:ascii="Aptos" w:hAnsi="Aptos" w:eastAsia="Aptos" w:cs="Aptos"/>
          <w:lang w:val="en-US"/>
        </w:rPr>
        <w:t xml:space="preserve">La WCS salue l’examen mené par le Secrétariat concernant l’utilisation de la CITES pour réglementer le commerce des spécimens issus de la biotechnologie, et remercie les Parties et les autres acteurs d’avoir fourni les informations pertinentes. </w:t>
      </w:r>
    </w:p>
    <w:p w:rsidRPr="00682E50" w:rsidR="00682E50" w:rsidP="00682E50" w:rsidRDefault="00682E50" w14:paraId="115E0731" w14:textId="77777777">
      <w:pPr>
        <w:spacing w:line="240" w:lineRule="auto"/>
        <w:rPr>
          <w:rFonts w:ascii="Aptos" w:hAnsi="Aptos" w:eastAsia="Aptos" w:cs="Aptos"/>
          <w:lang w:val="en-US"/>
        </w:rPr>
      </w:pPr>
      <w:r w:rsidRPr="00682E50">
        <w:rPr>
          <w:rFonts w:ascii="Aptos" w:hAnsi="Aptos" w:eastAsia="Aptos" w:cs="Aptos"/>
          <w:lang w:val="en-US"/>
        </w:rPr>
        <w:t xml:space="preserve">La WCS soutient l’élaboration d’un projet de lignes directrices sur la mise en œuvre et l’application de la Convention en ce qui concerne les spécimens issus de la biotechnologie.</w:t>
      </w:r>
      <w:bookmarkStart w:name="_Int_cU8t28GU" w:id="129"/>
      <w:r w:rsidRPr="00682E50">
        <w:rPr>
          <w:rFonts w:ascii="Aptos" w:hAnsi="Aptos" w:eastAsia="Aptos" w:cs="Aptos"/>
          <w:lang w:val="en-US"/>
        </w:rPr>
        <w:t xml:space="preserve"> En particulier, des lignes directrices</w:t>
      </w:r>
      <w:bookmarkEnd w:id="129"/>
      <w:r w:rsidRPr="00682E50">
        <w:rPr>
          <w:rFonts w:ascii="Aptos" w:hAnsi="Aptos" w:eastAsia="Aptos" w:cs="Aptos"/>
          <w:lang w:val="en-US"/>
        </w:rPr>
        <w:t xml:space="preserve"> sont nécessaires pour établir sans ambiguïté que </w:t>
      </w:r>
      <w:r w:rsidRPr="00682E50">
        <w:rPr>
          <w:rFonts w:ascii="Aptos" w:hAnsi="Aptos" w:eastAsia="Aptos" w:cs="Aptos"/>
          <w:u w:val="single"/>
          <w:lang w:val="en-US"/>
        </w:rPr>
        <w:t xml:space="preserve">tous </w:t>
      </w:r>
      <w:r w:rsidRPr="00682E50">
        <w:rPr>
          <w:rFonts w:ascii="Aptos" w:hAnsi="Aptos" w:eastAsia="Aptos" w:cs="Aptos"/>
          <w:lang w:val="en-US"/>
        </w:rPr>
        <w:t xml:space="preserve">les spécimens issus de la biotechnologie qui sont liés de quelque manière que ce soit à une espèce inscrite à la CITES, même s’ils n’en sont pas directement dérivés, doivent relever de la compétence de la CITES. Il s’agit d’éliminer le risque que des spécimens naturels d’origine illégale soient présentés comme synthétiques (paragraphes 14 et 15).</w:t>
      </w:r>
      <w:bookmarkStart w:name="_Int_DgdDHnai" w:id="130"/>
      <w:r w:rsidRPr="00682E50">
        <w:rPr>
          <w:rFonts w:ascii="Aptos" w:hAnsi="Aptos" w:eastAsia="Aptos" w:cs="Aptos"/>
          <w:lang w:val="en-US"/>
        </w:rPr>
        <w:t xml:space="preserve"> En particulier, les spécimens</w:t>
      </w:r>
      <w:bookmarkEnd w:id="130"/>
      <w:r w:rsidRPr="00682E50">
        <w:rPr>
          <w:rFonts w:ascii="Aptos" w:hAnsi="Aptos" w:eastAsia="Aptos" w:cs="Aptos"/>
          <w:lang w:val="en-US"/>
        </w:rPr>
        <w:t xml:space="preserve"> produits en utilisant uniquement l’information génétique d’une espèce inscrite à la CITES doivent</w:t>
      </w:r>
      <w:bookmarkStart w:name="_Int_cZVOR7WN" w:id="131"/>
      <w:r w:rsidRPr="00682E50">
        <w:rPr>
          <w:rFonts w:ascii="Aptos" w:hAnsi="Aptos" w:eastAsia="Aptos" w:cs="Aptos"/>
          <w:lang w:val="en-US"/>
        </w:rPr>
        <w:t xml:space="preserve"> </w:t>
      </w:r>
      <w:r w:rsidRPr="00682E50">
        <w:rPr>
          <w:rFonts w:ascii="Aptos" w:hAnsi="Aptos" w:eastAsia="Aptos" w:cs="Aptos"/>
          <w:lang w:val="en-US"/>
        </w:rPr>
        <w:t xml:space="preserve">être </w:t>
      </w:r>
      <w:r w:rsidRPr="00682E50">
        <w:rPr>
          <w:rFonts w:ascii="Aptos" w:hAnsi="Aptos" w:eastAsia="Aptos" w:cs="Aptos"/>
          <w:lang w:val="en-US"/>
        </w:rPr>
        <w:t xml:space="preserve">considérés comme</w:t>
      </w:r>
      <w:bookmarkEnd w:id="131"/>
      <w:r w:rsidRPr="00682E50">
        <w:rPr>
          <w:rFonts w:ascii="Aptos" w:hAnsi="Aptos" w:eastAsia="Aptos" w:cs="Aptos"/>
          <w:lang w:val="en-US"/>
        </w:rPr>
        <w:t xml:space="preserve"> relevant du champ d’application de la réglementation CITES.</w:t>
      </w:r>
      <w:r w:rsidRPr="00682E50">
        <w:rPr>
          <w:rFonts w:ascii="Aptos" w:hAnsi="Aptos" w:eastAsia="Aptos" w:cs="Aptos"/>
          <w:lang w:val="en-US"/>
        </w:rPr>
        <w:lastRenderedPageBreak/>
      </w:r>
      <w:r w:rsidRPr="00682E50">
        <w:rPr>
          <w:rFonts w:ascii="Aptos" w:hAnsi="Aptos" w:eastAsia="Aptos" w:cs="Aptos"/>
          <w:lang w:val="en-US"/>
        </w:rPr>
        <w:t xml:space="preserve"> La raison en est que n’importe quel produit (par exemple, une corne de rhinocéros) pourrait être fabriqué en utilisant uniquement des informations génétiques et, s’il ne relevait pas du champ d’application de la CITES, être vendu à grande échelle. Il serait génétiquement identique aux articles issus d’espèces sauvages ; il serait donc impossible pour les agents chargés de l’application de la loi de faire la distinction entre les produits d’origine sauvage blanchis illégalement et le produit issu du génie génétique. </w:t>
      </w:r>
    </w:p>
    <w:p w:rsidR="00682E50" w:rsidP="00682E50" w:rsidRDefault="00682E50" w14:paraId="50E14AC9" w14:textId="77777777">
      <w:pPr>
        <w:spacing w:line="240" w:lineRule="auto"/>
        <w:rPr>
          <w:rFonts w:ascii="Aptos" w:hAnsi="Aptos" w:eastAsia="Aptos" w:cs="Aptos"/>
        </w:rPr>
      </w:pPr>
    </w:p>
    <w:p w:rsidR="00395EA8" w:rsidP="00682E50" w:rsidRDefault="00682E50" w14:paraId="67078DFD" w14:textId="77777777">
      <w:pPr>
        <w:spacing w:line="240" w:lineRule="auto"/>
        <w:rPr>
          <w:rFonts w:ascii="Aptos" w:hAnsi="Aptos" w:eastAsia="Aptos" w:cs="Aptos"/>
        </w:rPr>
      </w:pPr>
      <w:r w:rsidRPr="00682E50">
        <w:rPr>
          <w:rFonts w:ascii="Aptos" w:hAnsi="Aptos" w:eastAsia="Aptos" w:cs="Aptos"/>
        </w:rPr>
        <w:t xml:space="preserve">La WCS serait ravie de contribuer à la rédaction de telles lignes directrices si nécessaire.</w:t>
      </w:r>
      <w:r w:rsidRPr="00682E50">
        <w:rPr>
          <w:rFonts w:ascii="Aptos" w:hAnsi="Aptos"/>
        </w:rPr>
        <w:br/>
      </w:r>
      <w:r w:rsidRPr="00682E50">
        <w:rPr>
          <w:rFonts w:ascii="Aptos" w:hAnsi="Aptos" w:eastAsia="Aptos" w:cs="Aptos"/>
        </w:rPr>
        <w:t xml:space="preserve"> </w:t>
      </w:r>
    </w:p>
    <w:p w:rsidR="00395EA8" w:rsidP="00682E50" w:rsidRDefault="00395EA8" w14:paraId="33C09ED3" w14:textId="77777777">
      <w:pPr>
        <w:spacing w:line="240" w:lineRule="auto"/>
        <w:rPr>
          <w:rFonts w:ascii="Aptos" w:hAnsi="Aptos" w:eastAsia="Aptos" w:cs="Aptos"/>
        </w:rPr>
      </w:pPr>
    </w:p>
    <w:p w:rsidRPr="00395EA8" w:rsidR="00682E50" w:rsidP="00682E50" w:rsidRDefault="00395EA8" w14:paraId="5F46ADCD" w14:textId="3A9C9954">
      <w:pPr>
        <w:spacing w:line="240" w:lineRule="auto"/>
        <w:rPr>
          <w:rFonts w:ascii="Aptos" w:hAnsi="Aptos" w:eastAsia="Aptos" w:cs="Aptos"/>
        </w:rPr>
      </w:pPr>
      <w:r w:rsidRPr="00395EA8">
        <w:rPr>
          <w:rFonts w:ascii="Aptos" w:hAnsi="Aptos" w:eastAsia="Aptos" w:cs="Aptos"/>
          <w:b/>
          <w:bCs/>
        </w:rPr>
        <w:t xml:space="preserve">52 : </w:t>
      </w:r>
      <w:hyperlink r:id="rId53">
        <w:r w:rsidRPr="00682E50" w:rsidR="00682E50">
          <w:rPr>
            <w:rStyle w:val="Hyperlink"/>
            <w:rFonts w:ascii="Aptos" w:hAnsi="Aptos"/>
            <w:b/>
            <w:bCs/>
          </w:rPr>
          <w:t xml:space="preserve">Élimination des spécimens confisqués (Décision 19.173)</w:t>
        </w:r>
        <w:bookmarkEnd w:id="128"/>
      </w:hyperlink>
    </w:p>
    <w:p w:rsidR="00682E50" w:rsidP="00682E50" w:rsidRDefault="00682E50" w14:paraId="64DFBE70" w14:textId="77777777">
      <w:pPr>
        <w:spacing w:line="240" w:lineRule="auto"/>
        <w:rPr>
          <w:rFonts w:ascii="Aptos" w:hAnsi="Aptos" w:eastAsia="Aptos" w:cs="Aptos"/>
          <w:color w:val="000000" w:themeColor="text1"/>
          <w:lang w:val="en-US"/>
        </w:rPr>
      </w:pPr>
    </w:p>
    <w:p w:rsidRPr="00682E50" w:rsidR="00682E50" w:rsidP="00682E50" w:rsidRDefault="00682E50" w14:paraId="35868ADC" w14:textId="6DFED935">
      <w:pPr>
        <w:spacing w:line="240" w:lineRule="auto"/>
        <w:rPr>
          <w:rFonts w:ascii="Aptos" w:hAnsi="Aptos" w:eastAsia="Aptos" w:cs="Aptos"/>
          <w:color w:val="000000" w:themeColor="text1"/>
          <w:lang w:val="en-US"/>
        </w:rPr>
      </w:pPr>
      <w:r w:rsidRPr="00682E50">
        <w:rPr>
          <w:rFonts w:ascii="Aptos" w:hAnsi="Aptos" w:eastAsia="Aptos" w:cs="Aptos"/>
          <w:color w:val="000000" w:themeColor="text1"/>
          <w:lang w:val="en-US"/>
        </w:rPr>
        <w:t xml:space="preserve">La WCS soutient la poursuite de cette discussion et approuve les recommandations présentées par le Secrétariat dans le document SC81 Doc. 52. </w:t>
      </w:r>
    </w:p>
    <w:p w:rsidR="00682E50" w:rsidP="00682E50" w:rsidRDefault="00682E50" w14:paraId="0589D74B" w14:textId="77777777">
      <w:pPr>
        <w:spacing w:line="240" w:lineRule="auto"/>
        <w:rPr>
          <w:rFonts w:ascii="Aptos" w:hAnsi="Aptos" w:eastAsia="Aptos" w:cs="Aptos"/>
          <w:b/>
          <w:bCs/>
        </w:rPr>
      </w:pPr>
    </w:p>
    <w:p w:rsidRPr="00682E50" w:rsidR="00682E50" w:rsidP="00682E50" w:rsidRDefault="00682E50" w14:paraId="3FC462BD" w14:textId="77777777">
      <w:pPr>
        <w:spacing w:line="240" w:lineRule="auto"/>
        <w:rPr>
          <w:rFonts w:ascii="Aptos" w:hAnsi="Aptos" w:eastAsia="Aptos" w:cs="Aptos"/>
          <w:b/>
          <w:bCs/>
        </w:rPr>
      </w:pPr>
    </w:p>
    <w:p w:rsidR="00682E50" w:rsidP="00682E50" w:rsidRDefault="00682E50" w14:paraId="141502A9" w14:textId="77777777">
      <w:pPr>
        <w:pStyle w:val="Heading1"/>
        <w:rPr>
          <w:rFonts w:ascii="Aptos" w:hAnsi="Aptos"/>
          <w:sz w:val="22"/>
          <w:szCs w:val="22"/>
        </w:rPr>
      </w:pPr>
      <w:bookmarkStart w:name="_Registration_of_operations" w:id="132"/>
      <w:bookmarkStart w:name="_Toc242564023" w:id="133"/>
      <w:r w:rsidRPr="00682E50">
        <w:rPr>
          <w:rFonts w:ascii="Aptos" w:hAnsi="Aptos"/>
          <w:sz w:val="22"/>
          <w:szCs w:val="22"/>
        </w:rPr>
        <w:t xml:space="preserve">53. Enregistrement des établissements qui élèvent en captivité, à des fins commerciales, des espèces animales inscrites à l’annexe I [Résolution Conf. 12.10 (Rev. CoP20)]</w:t>
      </w:r>
      <w:bookmarkEnd w:id="132"/>
      <w:bookmarkEnd w:id="133"/>
      <w:r w:rsidRPr="00682E50">
        <w:rPr>
          <w:rFonts w:ascii="Aptos" w:hAnsi="Aptos"/>
          <w:sz w:val="22"/>
          <w:szCs w:val="22"/>
        </w:rPr>
        <w:t xml:space="preserve"> </w:t>
      </w:r>
    </w:p>
    <w:p w:rsidRPr="00682E50" w:rsidR="00682E50" w:rsidP="00682E50" w:rsidRDefault="00682E50" w14:paraId="3F7BA171" w14:textId="77777777"/>
    <w:p w:rsidRPr="00682E50" w:rsidR="00682E50" w:rsidP="00682E50" w:rsidRDefault="00682E50" w14:paraId="0513B988" w14:textId="250567CE">
      <w:pPr>
        <w:pStyle w:val="Heading1"/>
        <w:rPr>
          <w:rFonts w:ascii="Aptos" w:hAnsi="Aptos"/>
          <w:i/>
          <w:iCs/>
          <w:sz w:val="22"/>
          <w:szCs w:val="22"/>
        </w:rPr>
      </w:pPr>
      <w:bookmarkStart w:name="_53.2._Registration_of" w:id="134"/>
      <w:bookmarkStart w:name="_Toc242564024" w:id="135"/>
      <w:bookmarkEnd w:id="134"/>
      <w:r>
        <w:rPr>
          <w:rFonts w:ascii="Aptos" w:hAnsi="Aptos"/>
          <w:sz w:val="22"/>
          <w:szCs w:val="22"/>
        </w:rPr>
        <w:t xml:space="preserve">53.2. </w:t>
      </w:r>
      <w:hyperlink w:history="1" r:id="rId54">
        <w:r w:rsidRPr="00682E50">
          <w:rPr>
            <w:rStyle w:val="Hyperlink"/>
            <w:rFonts w:ascii="Aptos" w:hAnsi="Aptos"/>
            <w:sz w:val="22"/>
            <w:szCs w:val="22"/>
          </w:rPr>
          <w:t xml:space="preserve">Enregistrement de l'exploitation « Special Turtles » (Italie) dédiée à l'élevage </w:t>
        </w:r>
        <w:r w:rsidRPr="00682E50">
          <w:rPr>
            <w:rStyle w:val="Hyperlink"/>
            <w:rFonts w:ascii="Aptos" w:hAnsi="Aptos"/>
            <w:i/>
            <w:iCs/>
            <w:sz w:val="22"/>
            <w:szCs w:val="22"/>
          </w:rPr>
          <w:t xml:space="preserve">d'Astrochelys </w:t>
        </w:r>
        <w:r w:rsidRPr="00682E50">
          <w:rPr>
            <w:rStyle w:val="Hyperlink"/>
            <w:rFonts w:ascii="Aptos" w:hAnsi="Aptos"/>
            <w:i/>
            <w:iCs/>
            <w:sz w:val="22"/>
            <w:szCs w:val="22"/>
          </w:rPr>
          <w:t xml:space="preserve">radiata, </w:t>
        </w:r>
        <w:r w:rsidRPr="00682E50">
          <w:rPr>
            <w:rStyle w:val="Hyperlink"/>
            <w:rFonts w:ascii="Aptos" w:hAnsi="Aptos"/>
            <w:sz w:val="22"/>
            <w:szCs w:val="22"/>
          </w:rPr>
          <w:t xml:space="preserve">de </w:t>
        </w:r>
        <w:r w:rsidRPr="00682E50">
          <w:rPr>
            <w:rStyle w:val="Hyperlink"/>
            <w:rFonts w:ascii="Aptos" w:hAnsi="Aptos"/>
            <w:i/>
            <w:iCs/>
            <w:sz w:val="22"/>
            <w:szCs w:val="22"/>
          </w:rPr>
          <w:t xml:space="preserve">Geochelone </w:t>
        </w:r>
        <w:r w:rsidRPr="00682E50">
          <w:rPr>
            <w:rStyle w:val="Hyperlink"/>
            <w:rFonts w:ascii="Aptos" w:hAnsi="Aptos"/>
            <w:i/>
            <w:iCs/>
            <w:sz w:val="22"/>
            <w:szCs w:val="22"/>
          </w:rPr>
          <w:t xml:space="preserve">elegans, </w:t>
        </w:r>
        <w:r w:rsidRPr="00682E50">
          <w:rPr>
            <w:rStyle w:val="Hyperlink"/>
            <w:rFonts w:ascii="Aptos" w:hAnsi="Aptos"/>
            <w:i/>
            <w:iCs/>
            <w:sz w:val="22"/>
            <w:szCs w:val="22"/>
          </w:rPr>
          <w:t xml:space="preserve">de Malacochersus </w:t>
        </w:r>
        <w:r w:rsidRPr="00682E50">
          <w:rPr>
            <w:rStyle w:val="Hyperlink"/>
            <w:rFonts w:ascii="Aptos" w:hAnsi="Aptos"/>
            <w:i/>
            <w:iCs/>
            <w:sz w:val="22"/>
            <w:szCs w:val="22"/>
          </w:rPr>
          <w:t xml:space="preserve">tornieri </w:t>
        </w:r>
        <w:r w:rsidRPr="00682E50">
          <w:rPr>
            <w:rStyle w:val="Hyperlink"/>
            <w:rFonts w:ascii="Aptos" w:hAnsi="Aptos"/>
            <w:sz w:val="22"/>
            <w:szCs w:val="22"/>
          </w:rPr>
          <w:t xml:space="preserve">et </w:t>
        </w:r>
        <w:r w:rsidRPr="00682E50">
          <w:rPr>
            <w:rStyle w:val="Hyperlink"/>
            <w:rFonts w:ascii="Aptos" w:hAnsi="Aptos"/>
            <w:i/>
            <w:iCs/>
            <w:sz w:val="22"/>
            <w:szCs w:val="22"/>
          </w:rPr>
          <w:t xml:space="preserve">de Testudo </w:t>
        </w:r>
        <w:r w:rsidRPr="00682E50">
          <w:rPr>
            <w:rStyle w:val="Hyperlink"/>
            <w:rFonts w:ascii="Aptos" w:hAnsi="Aptos"/>
            <w:i/>
            <w:iCs/>
            <w:sz w:val="22"/>
            <w:szCs w:val="22"/>
          </w:rPr>
          <w:t xml:space="preserve">kleinmanni</w:t>
        </w:r>
        <w:bookmarkEnd w:id="135"/>
      </w:hyperlink>
    </w:p>
    <w:p w:rsidR="00682E50" w:rsidP="00682E50" w:rsidRDefault="00682E50" w14:paraId="6147E823" w14:textId="77777777">
      <w:pPr>
        <w:spacing w:line="240" w:lineRule="auto"/>
        <w:rPr>
          <w:rFonts w:ascii="Aptos" w:hAnsi="Aptos" w:eastAsia="Aptos" w:cs="Aptos"/>
          <w:lang w:val="en-US"/>
        </w:rPr>
      </w:pPr>
    </w:p>
    <w:p w:rsidRPr="00682E50" w:rsidR="00682E50" w:rsidP="00682E50" w:rsidRDefault="00682E50" w14:paraId="60C1495B" w14:textId="71C658C1">
      <w:pPr>
        <w:spacing w:line="240" w:lineRule="auto"/>
        <w:rPr>
          <w:rFonts w:ascii="Aptos" w:hAnsi="Aptos"/>
        </w:rPr>
      </w:pPr>
      <w:r w:rsidRPr="00682E50">
        <w:rPr>
          <w:rFonts w:ascii="Aptos" w:hAnsi="Aptos" w:eastAsia="Aptos" w:cs="Aptos"/>
          <w:lang w:val="en-US"/>
        </w:rPr>
        <w:t xml:space="preserve">Nous prenons note avec inquiétude des objections soulevées à l’encontre de l’enregistrement de cet établissement par Israël et Madagascar, deux des États de l’aire de répartition de ces espèces inscrites à l’Annexe I, menacées d’extinction ou en danger critique d’extinction, ainsi que par d’autres Parties.   </w:t>
      </w:r>
    </w:p>
    <w:p w:rsidR="00682E50" w:rsidP="00682E50" w:rsidRDefault="00682E50" w14:paraId="304CB5E6" w14:textId="77777777">
      <w:pPr>
        <w:spacing w:line="240" w:lineRule="auto"/>
        <w:rPr>
          <w:rFonts w:ascii="Aptos" w:hAnsi="Aptos" w:eastAsia="Aptos" w:cs="Aptos"/>
          <w:i/>
          <w:iCs/>
          <w:lang w:val="en-US"/>
        </w:rPr>
      </w:pPr>
    </w:p>
    <w:p w:rsidRPr="00682E50" w:rsidR="00682E50" w:rsidP="00682E50" w:rsidRDefault="00682E50" w14:paraId="722815AD" w14:textId="1EA16281">
      <w:pPr>
        <w:spacing w:line="240" w:lineRule="auto"/>
        <w:rPr>
          <w:rFonts w:ascii="Aptos" w:hAnsi="Aptos"/>
        </w:rPr>
      </w:pPr>
      <w:r w:rsidRPr="00682E50">
        <w:rPr>
          <w:rFonts w:ascii="Aptos" w:hAnsi="Aptos" w:eastAsia="Aptos" w:cs="Aptos"/>
          <w:i/>
          <w:iCs/>
          <w:lang w:val="en-US"/>
        </w:rPr>
        <w:t xml:space="preserve">Astrochelys </w:t>
      </w:r>
      <w:r w:rsidRPr="00682E50">
        <w:rPr>
          <w:rFonts w:ascii="Aptos" w:hAnsi="Aptos" w:eastAsia="Aptos" w:cs="Aptos"/>
          <w:i/>
          <w:iCs/>
          <w:lang w:val="en-US"/>
        </w:rPr>
        <w:t xml:space="preserve">radiata </w:t>
      </w:r>
      <w:r w:rsidRPr="00682E50">
        <w:rPr>
          <w:rFonts w:ascii="Aptos" w:hAnsi="Aptos" w:eastAsia="Aptos" w:cs="Aptos"/>
          <w:lang w:val="en-US"/>
        </w:rPr>
        <w:t xml:space="preserve">(tortue rayée) est une espèce endémique protégée à Madagascar. </w:t>
      </w:r>
      <w:r w:rsidRPr="00682E50">
        <w:rPr>
          <w:rFonts w:ascii="Aptos" w:hAnsi="Aptos" w:eastAsia="Aptos" w:cs="Aptos"/>
          <w:i/>
          <w:iCs/>
          <w:lang w:val="en-US"/>
        </w:rPr>
        <w:t xml:space="preserve">Malacochersus </w:t>
      </w:r>
      <w:r w:rsidRPr="00682E50">
        <w:rPr>
          <w:rFonts w:ascii="Aptos" w:hAnsi="Aptos" w:eastAsia="Aptos" w:cs="Aptos"/>
          <w:i/>
          <w:iCs/>
          <w:lang w:val="en-US"/>
        </w:rPr>
        <w:t xml:space="preserve">tornieri </w:t>
      </w:r>
      <w:r w:rsidRPr="00682E50">
        <w:rPr>
          <w:rFonts w:ascii="Aptos" w:hAnsi="Aptos" w:eastAsia="Aptos" w:cs="Aptos"/>
          <w:i/>
          <w:iCs/>
          <w:lang w:val="en-US"/>
        </w:rPr>
        <w:t xml:space="preserve">(</w:t>
      </w:r>
      <w:r w:rsidRPr="00682E50">
        <w:rPr>
          <w:rFonts w:ascii="Aptos" w:hAnsi="Aptos" w:eastAsia="Aptos" w:cs="Aptos"/>
          <w:lang w:val="en-US"/>
        </w:rPr>
        <w:t xml:space="preserve">tortue « pancake ») est originaire uniquement de habitats spécifiques au Kenya et en Tanzanie. </w:t>
      </w:r>
      <w:r w:rsidRPr="00682E50">
        <w:rPr>
          <w:rFonts w:ascii="Aptos" w:hAnsi="Aptos" w:eastAsia="Aptos" w:cs="Aptos"/>
          <w:i/>
          <w:iCs/>
          <w:lang w:val="en-US"/>
        </w:rPr>
        <w:t xml:space="preserve">Testudo </w:t>
      </w:r>
      <w:r w:rsidRPr="00682E50">
        <w:rPr>
          <w:rFonts w:ascii="Aptos" w:hAnsi="Aptos" w:eastAsia="Aptos" w:cs="Aptos"/>
          <w:i/>
          <w:iCs/>
          <w:lang w:val="en-US"/>
        </w:rPr>
        <w:t xml:space="preserve">kleinmanni </w:t>
      </w:r>
      <w:r w:rsidRPr="00682E50">
        <w:rPr>
          <w:rFonts w:ascii="Aptos" w:hAnsi="Aptos" w:eastAsia="Aptos" w:cs="Aptos"/>
          <w:lang w:val="en-US"/>
        </w:rPr>
        <w:t xml:space="preserve">est originaire d’Israël, d’Égypte et de Libye, et a disparu de l’Égypte à l’ouest du Nil. Ces trois espèces sont classées « en danger critique d’extinction » sur la Liste rouge des espèces menacées de l’UICN, et leurs populations sont en déclin ; le prélèvement illégal destiné au commerce des animaux de compagnie constitue une menace majeure pour ces espèces.</w:t>
      </w:r>
    </w:p>
    <w:p w:rsidRPr="00682E50" w:rsidR="00682E50" w:rsidP="00682E50" w:rsidRDefault="00682E50" w14:paraId="06D48417" w14:textId="77777777">
      <w:pPr>
        <w:spacing w:line="240" w:lineRule="auto"/>
        <w:rPr>
          <w:rFonts w:ascii="Aptos" w:hAnsi="Aptos"/>
        </w:rPr>
      </w:pPr>
      <w:r w:rsidRPr="00682E50">
        <w:rPr>
          <w:rFonts w:ascii="Aptos" w:hAnsi="Aptos" w:eastAsia="Aptos" w:cs="Aptos"/>
          <w:lang w:val="en-US"/>
        </w:rPr>
        <w:t xml:space="preserve">Nous soulignons que, pour qu’un spécimen élevé en captivité puisse faire l’objet d’un commerce légal, il doit exister des preuves attestant que le cheptel fondateur dont provient son matériel génétique a été prélevé légalement dans la nature. Les preuves fournies par le demandeur ne démontrent pas de lien plausible entre les exportations légales et documentées du cheptel fondateur issu de la nature et l’origine du cheptel reproducteur ayant produit les spécimens dans cet établissement.   </w:t>
      </w:r>
    </w:p>
    <w:p w:rsidR="00682E50" w:rsidP="00682E50" w:rsidRDefault="00682E50" w14:paraId="158D33A6" w14:textId="77777777">
      <w:pPr>
        <w:spacing w:line="240" w:lineRule="auto"/>
        <w:rPr>
          <w:rFonts w:ascii="Aptos" w:hAnsi="Aptos" w:eastAsia="Aptos" w:cs="Aptos"/>
          <w:lang w:val="en-US"/>
        </w:rPr>
      </w:pPr>
    </w:p>
    <w:p w:rsidRPr="00682E50" w:rsidR="00682E50" w:rsidP="00682E50" w:rsidRDefault="00682E50" w14:paraId="21DC0B99" w14:textId="09EAF387">
      <w:pPr>
        <w:spacing w:line="240" w:lineRule="auto"/>
        <w:rPr>
          <w:rFonts w:ascii="Aptos" w:hAnsi="Aptos"/>
        </w:rPr>
      </w:pPr>
      <w:r w:rsidRPr="00682E50">
        <w:rPr>
          <w:rFonts w:ascii="Aptos" w:hAnsi="Aptos" w:eastAsia="Aptos" w:cs="Aptos"/>
          <w:lang w:val="en-US"/>
        </w:rPr>
        <w:t xml:space="preserve">La documentation jointe à l’enregistrement italien se limite aux documents CITES internes à l’UE et aux entrées de la base de données sur le commerce CITES, mais ne fournit aucune preuve quant à la source ou à la voie par laquelle les spécimens fondateurs sont entrés dans l’Union européenne. C’est particulièrement le cas pour </w:t>
      </w:r>
      <w:r w:rsidRPr="00682E50">
        <w:rPr>
          <w:rFonts w:ascii="Aptos" w:hAnsi="Aptos" w:eastAsia="Aptos" w:cs="Aptos"/>
          <w:i/>
          <w:iCs/>
          <w:lang w:val="en-US"/>
        </w:rPr>
        <w:t xml:space="preserve">A. radiata </w:t>
      </w:r>
      <w:r w:rsidRPr="00682E50">
        <w:rPr>
          <w:rFonts w:ascii="Aptos" w:hAnsi="Aptos" w:eastAsia="Aptos" w:cs="Aptos"/>
          <w:lang w:val="en-US"/>
        </w:rPr>
        <w:t xml:space="preserve">et </w:t>
      </w:r>
      <w:r w:rsidRPr="00682E50">
        <w:rPr>
          <w:rFonts w:ascii="Aptos" w:hAnsi="Aptos" w:eastAsia="Aptos" w:cs="Aptos"/>
          <w:i/>
          <w:iCs/>
          <w:lang w:val="en-US"/>
        </w:rPr>
        <w:t xml:space="preserve">T. </w:t>
      </w:r>
      <w:r w:rsidRPr="00682E50">
        <w:rPr>
          <w:rFonts w:ascii="Aptos" w:hAnsi="Aptos" w:eastAsia="Aptos" w:cs="Aptos"/>
          <w:i/>
          <w:iCs/>
          <w:lang w:val="en-US"/>
        </w:rPr>
        <w:t xml:space="preserve">kleinmanni</w:t>
      </w:r>
      <w:r w:rsidRPr="00682E50">
        <w:rPr>
          <w:rFonts w:ascii="Aptos" w:hAnsi="Aptos" w:eastAsia="Aptos" w:cs="Aptos"/>
          <w:lang w:val="en-US"/>
        </w:rPr>
        <w:t xml:space="preserve">, qui ont été inscrits à l’annexe I respectivement en 1975 et 1995. Nous notons que depuis l’entrée en vigueur de la CITES, il n’y a jamais eu de commerce international légal </w:t>
      </w:r>
      <w:r w:rsidRPr="00682E50">
        <w:rPr>
          <w:rFonts w:ascii="Aptos" w:hAnsi="Aptos" w:eastAsia="Aptos" w:cs="Aptos"/>
          <w:i/>
          <w:iCs/>
          <w:lang w:val="en-US"/>
        </w:rPr>
        <w:t xml:space="preserve">d’A. radiata </w:t>
      </w:r>
      <w:r w:rsidRPr="00682E50">
        <w:rPr>
          <w:rFonts w:ascii="Aptos" w:hAnsi="Aptos" w:eastAsia="Aptos" w:cs="Aptos"/>
          <w:lang w:val="en-US"/>
        </w:rPr>
        <w:t xml:space="preserve">provenant de la nature, et qu’il n’y a plus eu de commerce international légal de </w:t>
      </w:r>
      <w:r w:rsidRPr="00682E50">
        <w:rPr>
          <w:rFonts w:ascii="Aptos" w:hAnsi="Aptos" w:eastAsia="Aptos" w:cs="Aptos"/>
          <w:i/>
          <w:iCs/>
          <w:lang w:val="en-US"/>
        </w:rPr>
        <w:t xml:space="preserve">T. </w:t>
      </w:r>
      <w:r w:rsidRPr="00682E50">
        <w:rPr>
          <w:rFonts w:ascii="Aptos" w:hAnsi="Aptos" w:eastAsia="Aptos" w:cs="Aptos"/>
          <w:i/>
          <w:iCs/>
          <w:lang w:val="en-US"/>
        </w:rPr>
        <w:t xml:space="preserve">kleinmanni </w:t>
      </w:r>
      <w:r w:rsidRPr="00682E50">
        <w:rPr>
          <w:rFonts w:ascii="Aptos" w:hAnsi="Aptos" w:eastAsia="Aptos" w:cs="Aptos"/>
          <w:lang w:val="en-US"/>
        </w:rPr>
        <w:t xml:space="preserve">depuis 1995, soit depuis 31 ans.</w:t>
      </w:r>
    </w:p>
    <w:p w:rsidR="00682E50" w:rsidP="00682E50" w:rsidRDefault="00682E50" w14:paraId="44916C08" w14:textId="77777777">
      <w:pPr>
        <w:spacing w:line="240" w:lineRule="auto"/>
        <w:rPr>
          <w:rFonts w:ascii="Aptos" w:hAnsi="Aptos" w:eastAsia="Aptos" w:cs="Aptos"/>
          <w:lang w:val="en-US"/>
        </w:rPr>
      </w:pPr>
    </w:p>
    <w:p w:rsidRPr="00682E50" w:rsidR="00682E50" w:rsidP="00682E50" w:rsidRDefault="00682E50" w14:paraId="11B5AAA0" w14:textId="65032438">
      <w:pPr>
        <w:spacing w:line="240" w:lineRule="auto"/>
        <w:rPr>
          <w:rFonts w:ascii="Aptos" w:hAnsi="Aptos"/>
        </w:rPr>
      </w:pPr>
      <w:r w:rsidRPr="00682E50">
        <w:rPr>
          <w:rFonts w:ascii="Aptos" w:hAnsi="Aptos" w:eastAsia="Aptos" w:cs="Aptos"/>
          <w:lang w:val="en-US"/>
        </w:rPr>
        <w:t xml:space="preserve">Des éléments de preuve supplémentaires sont nécessaires pour démontrer clairement que le cheptel fondateur et le cheptel parental ont été obtenus conformément aux mesures nationales applicables et aux dispositions de la Convention. En l’absence de telles informations, nous ne voyons pas comment l’établissement satisfait aux exigences de la résolution Conf. 12.10 (Rev. CoP15), y compris la fourniture des informations requises à l’annexe 1 de la résolution.</w:t>
      </w:r>
    </w:p>
    <w:p w:rsidR="00682E50" w:rsidP="00682E50" w:rsidRDefault="00682E50" w14:paraId="4E907B0E" w14:textId="77777777">
      <w:pPr>
        <w:spacing w:line="240" w:lineRule="auto"/>
        <w:rPr>
          <w:rFonts w:ascii="Aptos" w:hAnsi="Aptos" w:eastAsia="Aptos" w:cs="Aptos"/>
          <w:lang w:val="en-US"/>
        </w:rPr>
      </w:pPr>
    </w:p>
    <w:p w:rsidRPr="00682E50" w:rsidR="00682E50" w:rsidP="00682E50" w:rsidRDefault="00682E50" w14:paraId="015F7EE4" w14:textId="19EA5A22">
      <w:pPr>
        <w:spacing w:line="240" w:lineRule="auto"/>
      </w:pPr>
      <w:r w:rsidRPr="5403C073">
        <w:rPr>
          <w:rFonts w:ascii="Aptos" w:hAnsi="Aptos" w:eastAsia="Aptos" w:cs="Aptos"/>
          <w:lang w:val="en-US"/>
        </w:rPr>
        <w:t xml:space="preserve">Si nous reconnaissons que ces espèces peuvent se reproduire en captivité, nous notons également que ces quatre espèces font toutes l’objet d’un commerce illégal (y compris vers l’Europe, où se trouve cet établissement).  </w:t>
      </w:r>
    </w:p>
    <w:p w:rsidR="5403C073" w:rsidP="5403C073" w:rsidRDefault="5403C073" w14:paraId="22FE87D2" w14:textId="24A288A5">
      <w:pPr>
        <w:spacing w:line="240" w:lineRule="auto"/>
        <w:rPr>
          <w:rFonts w:ascii="Aptos" w:hAnsi="Aptos" w:eastAsia="Aptos" w:cs="Aptos"/>
          <w:lang w:val="en-US"/>
        </w:rPr>
      </w:pPr>
    </w:p>
    <w:p w:rsidRPr="00682E50" w:rsidR="00682E50" w:rsidP="00682E50" w:rsidRDefault="00682E50" w14:paraId="47939E3C" w14:textId="77777777">
      <w:pPr>
        <w:spacing w:line="240" w:lineRule="auto"/>
        <w:rPr>
          <w:rFonts w:ascii="Aptos" w:hAnsi="Aptos"/>
        </w:rPr>
      </w:pPr>
      <w:r w:rsidRPr="00682E50">
        <w:rPr>
          <w:rFonts w:ascii="Aptos" w:hAnsi="Aptos" w:eastAsia="Aptos" w:cs="Aptos"/>
        </w:rPr>
        <w:t xml:space="preserve">Compte tenu de toutes ces incertitudes, du statut d’espèces menacées de ces espèces, et afin de soutenir la conservation de ces espèces ainsi que les efforts déployés par les États de l’aire de répartition, nous recommandons vivement que le Comité de sauvegarde (SC) rejette la demande d’enregistrement de cette exploitation d’élevage à des fins commerciales.</w:t>
      </w:r>
    </w:p>
    <w:p w:rsidRPr="00682E50" w:rsidR="00682E50" w:rsidP="00682E50" w:rsidRDefault="00682E50" w14:paraId="052A407D" w14:textId="77777777">
      <w:pPr>
        <w:pStyle w:val="Heading"/>
      </w:pPr>
    </w:p>
    <w:p w:rsidRPr="00682E50" w:rsidR="00682E50" w:rsidP="00682E50" w:rsidRDefault="00682E50" w14:paraId="40F8AE70" w14:textId="03DB5A7C">
      <w:pPr>
        <w:pStyle w:val="Heading"/>
        <w:rPr>
          <w:i/>
          <w:iCs/>
        </w:rPr>
      </w:pPr>
      <w:r>
        <w:t xml:space="preserve">53.3 </w:t>
      </w:r>
      <w:r w:rsidR="00395EA8">
        <w:t xml:space="preserve">: </w:t>
      </w:r>
      <w:hyperlink w:history="1" r:id="rId55">
        <w:r w:rsidRPr="00682E50">
          <w:rPr>
            <w:rStyle w:val="Hyperlink"/>
          </w:rPr>
          <w:t xml:space="preserve">Enregistrement de l’exploitation de Grayson Tighe (Canada) élevant </w:t>
        </w:r>
        <w:r w:rsidRPr="00682E50">
          <w:rPr>
            <w:rStyle w:val="Hyperlink"/>
            <w:i/>
            <w:iCs/>
          </w:rPr>
          <w:t xml:space="preserve">Brachylophus </w:t>
        </w:r>
        <w:r w:rsidRPr="00682E50">
          <w:rPr>
            <w:rStyle w:val="Hyperlink"/>
            <w:i/>
            <w:iCs/>
          </w:rPr>
          <w:t xml:space="preserve">bulabula </w:t>
        </w:r>
        <w:r w:rsidRPr="00682E50">
          <w:rPr>
            <w:rStyle w:val="Hyperlink"/>
          </w:rPr>
          <w:t xml:space="preserve">et </w:t>
        </w:r>
        <w:r w:rsidRPr="00682E50">
          <w:rPr>
            <w:rStyle w:val="Hyperlink"/>
            <w:i/>
            <w:iCs/>
          </w:rPr>
          <w:t xml:space="preserve">Brachylophus fasciatus</w:t>
        </w:r>
      </w:hyperlink>
    </w:p>
    <w:p w:rsidR="00682E50" w:rsidP="00682E50" w:rsidRDefault="00682E50" w14:paraId="66361C83" w14:textId="77777777">
      <w:pPr>
        <w:pStyle w:val="SC81Normal"/>
        <w:spacing w:after="0"/>
      </w:pPr>
    </w:p>
    <w:p w:rsidRPr="00682E50" w:rsidR="00682E50" w:rsidP="00682E50" w:rsidRDefault="00682E50" w14:paraId="1F48CCEA" w14:textId="4F17FC47">
      <w:pPr>
        <w:pStyle w:val="SC81Normal"/>
        <w:spacing w:after="0"/>
      </w:pPr>
      <w:r w:rsidRPr="00682E50">
        <w:t xml:space="preserve">Nous prenons note avec inquiétude des objections soulevées à l’encontre de l’enregistrement de cette installation par les Fidji, en tant qu’État de l’aire de répartition de ces espèces endémiques au niveau national, ainsi que par d’autres Parties.  </w:t>
      </w:r>
      <w:hyperlink r:id="rId56">
        <w:r w:rsidRPr="00682E50">
          <w:rPr>
            <w:rStyle w:val="Hyperlink"/>
            <w:b/>
            <w:bCs/>
            <w:i/>
            <w:iCs/>
            <w:color w:val="467886"/>
          </w:rPr>
          <w:t xml:space="preserve">Brachylophus </w:t>
        </w:r>
        <w:r w:rsidRPr="00682E50">
          <w:rPr>
            <w:rStyle w:val="Hyperlink"/>
            <w:b/>
            <w:bCs/>
            <w:i/>
            <w:iCs/>
            <w:color w:val="467886"/>
          </w:rPr>
          <w:t xml:space="preserve">bulabula</w:t>
        </w:r>
      </w:hyperlink>
      <w:r w:rsidRPr="00682E50">
        <w:t xml:space="preserve"> (l’iguane rayé des Fidji) et </w:t>
      </w:r>
      <w:hyperlink r:id="rId57">
        <w:r w:rsidRPr="00682E50">
          <w:rPr>
            <w:rStyle w:val="Hyperlink"/>
            <w:b/>
            <w:bCs/>
            <w:i/>
            <w:iCs/>
            <w:color w:val="467886"/>
          </w:rPr>
          <w:t xml:space="preserve">Brachylophus fasciatus</w:t>
        </w:r>
      </w:hyperlink>
      <w:r w:rsidRPr="00682E50">
        <w:t xml:space="preserve"> (l’iguane rayé de Lau) sont tous deux endémiques des Fidji et sont classés comme « en danger » et en déclin sur la Liste rouge des espèces menacées de l’UICN.</w:t>
      </w:r>
    </w:p>
    <w:p w:rsidRPr="00682E50" w:rsidR="00682E50" w:rsidP="00682E50" w:rsidRDefault="00682E50" w14:paraId="46E9F8C3" w14:textId="77777777">
      <w:pPr>
        <w:pStyle w:val="SC81Normal"/>
        <w:spacing w:after="0"/>
      </w:pPr>
      <w:r w:rsidRPr="00682E50">
        <w:t xml:space="preserve">Pour qu’un spécimen élevé en captivité puisse faire l’objet d’un commerce légal, il faut apporter la preuve que le cheptel fondateur dont provient son matériel génétique a été prélevé légalement dans la nature. Les éléments de preuve fournis ne démontrent pas l’existence d’un lien plausible entre des exportations légales et documentées depuis les Fidji – ou depuis les Tonga, ou depuis le Vanuatu – vers la Suisse, d’où provient le cheptel reproducteur ayant donné naissance aux spécimens présents dans cette installation.  </w:t>
      </w:r>
    </w:p>
    <w:p w:rsidR="00682E50" w:rsidP="00682E50" w:rsidRDefault="00682E50" w14:paraId="628CF384" w14:textId="77777777">
      <w:pPr>
        <w:pStyle w:val="SC81Normal"/>
        <w:spacing w:after="0"/>
      </w:pPr>
    </w:p>
    <w:p w:rsidR="00682E50" w:rsidP="00682E50" w:rsidRDefault="00682E50" w14:paraId="18F91CD2" w14:textId="44F0BCEF">
      <w:pPr>
        <w:pStyle w:val="SC81Normal"/>
        <w:spacing w:after="0"/>
      </w:pPr>
      <w:r w:rsidRPr="00682E50">
        <w:t xml:space="preserve">Bien que nous reconnaissions que ces espèces peuvent se reproduire en captivité, nous notons également qu’elles font l’objet d’un commerce illégal (notamment vers l’Europe). </w:t>
      </w:r>
    </w:p>
    <w:p w:rsidRPr="00682E50" w:rsidR="00682E50" w:rsidP="00682E50" w:rsidRDefault="00682E50" w14:paraId="0BE65AF2" w14:textId="77777777">
      <w:pPr>
        <w:pStyle w:val="SC81Normal"/>
        <w:spacing w:after="0"/>
      </w:pPr>
    </w:p>
    <w:p w:rsidR="00682E50" w:rsidP="00682E50" w:rsidRDefault="00682E50" w14:paraId="27D35ECF" w14:textId="77777777">
      <w:pPr>
        <w:pStyle w:val="SC81Normal"/>
        <w:spacing w:after="0"/>
      </w:pPr>
      <w:r w:rsidRPr="00682E50">
        <w:t xml:space="preserve">Compte tenu de cette incertitude, du statut d’espèce menacée de cette espèce et afin de soutenir sa conservation ainsi que les efforts déployés par l’État de l’aire de répartition, nous recommandons vivement que le Comité de sauvegarde (SC) rejette la demande d’enregistrement de cette exploitation d’élevage à des fins commerciales.</w:t>
      </w:r>
    </w:p>
    <w:p w:rsidRPr="00682E50" w:rsidR="00682E50" w:rsidP="00682E50" w:rsidRDefault="00682E50" w14:paraId="5084BFFD" w14:textId="77777777">
      <w:pPr>
        <w:pStyle w:val="SC81Normal"/>
        <w:spacing w:after="0"/>
      </w:pPr>
    </w:p>
    <w:p w:rsidRPr="00682E50" w:rsidR="00682E50" w:rsidP="00682E50" w:rsidRDefault="00682E50" w14:paraId="72E8FFB7" w14:textId="77777777">
      <w:pPr>
        <w:spacing w:line="240" w:lineRule="auto"/>
        <w:rPr>
          <w:rFonts w:ascii="Aptos" w:hAnsi="Aptos" w:eastAsia="Aptos" w:cs="Aptos"/>
          <w:lang w:val="en-US"/>
        </w:rPr>
      </w:pPr>
    </w:p>
    <w:p w:rsidRPr="00682E50" w:rsidR="00682E50" w:rsidP="00682E50" w:rsidRDefault="00682E50" w14:paraId="6FA70B7C" w14:textId="36CBB005">
      <w:pPr>
        <w:pStyle w:val="Heading1"/>
        <w:rPr>
          <w:rFonts w:ascii="Aptos" w:hAnsi="Aptos"/>
          <w:sz w:val="22"/>
          <w:szCs w:val="22"/>
        </w:rPr>
      </w:pPr>
      <w:bookmarkStart w:name="_55._Trade_in" w:id="136"/>
      <w:bookmarkStart w:name="_Trade_in_threatened" w:id="137"/>
      <w:bookmarkStart w:name="_Toc242564025" w:id="138"/>
      <w:bookmarkEnd w:id="136"/>
      <w:r w:rsidRPr="00682E50">
        <w:rPr>
          <w:rFonts w:ascii="Aptos" w:hAnsi="Aptos"/>
          <w:sz w:val="22"/>
          <w:szCs w:val="22"/>
        </w:rPr>
        <w:t xml:space="preserve">55 </w:t>
      </w:r>
      <w:r w:rsidR="00395EA8">
        <w:rPr>
          <w:rFonts w:ascii="Aptos" w:hAnsi="Aptos"/>
          <w:sz w:val="22"/>
          <w:szCs w:val="22"/>
        </w:rPr>
        <w:t xml:space="preserve">: </w:t>
      </w:r>
      <w:hyperlink r:id="rId58">
        <w:r w:rsidRPr="00682E50">
          <w:rPr>
            <w:rStyle w:val="Hyperlink"/>
            <w:rFonts w:ascii="Aptos" w:hAnsi="Aptos"/>
            <w:sz w:val="22"/>
            <w:szCs w:val="22"/>
          </w:rPr>
          <w:t xml:space="preserve">Commerce d’espèces endémiques menacées (Décision 20.151)</w:t>
        </w:r>
        <w:bookmarkEnd w:id="137"/>
        <w:bookmarkEnd w:id="138"/>
      </w:hyperlink>
      <w:r w:rsidRPr="00682E50">
        <w:rPr>
          <w:rFonts w:ascii="Aptos" w:hAnsi="Aptos"/>
          <w:sz w:val="22"/>
          <w:szCs w:val="22"/>
        </w:rPr>
        <w:t xml:space="preserve"> </w:t>
      </w:r>
    </w:p>
    <w:p w:rsidR="00682E50" w:rsidP="00682E50" w:rsidRDefault="00682E50" w14:paraId="40EBB85C" w14:textId="77777777">
      <w:pPr>
        <w:pStyle w:val="SC81Normal"/>
        <w:spacing w:after="0"/>
      </w:pPr>
    </w:p>
    <w:p w:rsidR="00682E50" w:rsidP="00682E50" w:rsidRDefault="00682E50" w14:paraId="7670858F" w14:textId="0FC62E52">
      <w:pPr>
        <w:pStyle w:val="SC81Normal"/>
        <w:spacing w:after="0"/>
      </w:pPr>
      <w:r w:rsidRPr="00682E50">
        <w:t xml:space="preserve">Nous saluons les progrès réalisés à ce jour dans l’élaboration d’études de cas conformément à la décision 20.151. En ce qui concerne d’éventuelles études de cas supplémentaires pour l’Afrique, l’Asie, l’Europe et l’Amérique du Nord, nous sommes en liaison avec les Parties et les membres du Comité permanent afin d’identifier des études de cas potentielles provenant des régions actuellement sous-représentées. </w:t>
      </w:r>
    </w:p>
    <w:p w:rsidRPr="00682E50" w:rsidR="00682E50" w:rsidP="00682E50" w:rsidRDefault="00682E50" w14:paraId="30ADA1D5" w14:textId="77777777">
      <w:pPr>
        <w:pStyle w:val="SC81Normal"/>
        <w:spacing w:after="0"/>
      </w:pPr>
    </w:p>
    <w:p w:rsidRPr="00682E50" w:rsidR="00682E50" w:rsidP="00682E50" w:rsidRDefault="00682E50" w14:paraId="55C0C658" w14:textId="77777777">
      <w:pPr>
        <w:pStyle w:val="SC81Normal"/>
        <w:spacing w:after="0"/>
      </w:pPr>
      <w:r w:rsidRPr="00682E50">
        <w:rPr>
          <w:color w:val="000000" w:themeColor="text1"/>
        </w:rPr>
        <w:t xml:space="preserve">Nous exhortons toutes les Parties à faire preuve d’une diligence raisonnable accrue lors de l’importation, de l’exportation ou de la réexportation de tout spécimen vivant d’animaux endémiques protégés dans leur pays d’origine. </w:t>
      </w:r>
    </w:p>
    <w:p w:rsidR="00682E50" w:rsidP="00682E50" w:rsidRDefault="00682E50" w14:paraId="5F86007F" w14:textId="77777777">
      <w:pPr>
        <w:spacing w:line="240" w:lineRule="auto"/>
        <w:rPr>
          <w:rFonts w:ascii="Aptos" w:hAnsi="Aptos" w:eastAsia="Aptos" w:cs="Aptos"/>
          <w:b/>
          <w:bCs/>
        </w:rPr>
      </w:pPr>
    </w:p>
    <w:p w:rsidRPr="00682E50" w:rsidR="00682E50" w:rsidP="00682E50" w:rsidRDefault="00682E50" w14:paraId="28D8EC72" w14:textId="77777777">
      <w:pPr>
        <w:spacing w:line="240" w:lineRule="auto"/>
        <w:rPr>
          <w:rFonts w:ascii="Aptos" w:hAnsi="Aptos" w:eastAsia="Aptos" w:cs="Aptos"/>
          <w:b/>
          <w:bCs/>
        </w:rPr>
      </w:pPr>
    </w:p>
    <w:p w:rsidRPr="00682E50" w:rsidR="00682E50" w:rsidP="00682E50" w:rsidRDefault="00395EA8" w14:paraId="32CE02DF" w14:textId="16917779">
      <w:pPr>
        <w:pStyle w:val="Heading1"/>
        <w:rPr>
          <w:rFonts w:ascii="Aptos" w:hAnsi="Aptos"/>
          <w:sz w:val="22"/>
          <w:szCs w:val="22"/>
        </w:rPr>
      </w:pPr>
      <w:bookmarkStart w:name="_Elephants_(Elephantidae_spp.):" w:id="139"/>
      <w:r>
        <w:rPr>
          <w:rFonts w:ascii="Aptos" w:hAnsi="Aptos"/>
          <w:sz w:val="22"/>
          <w:szCs w:val="22"/>
        </w:rPr>
        <w:t xml:space="preserve">56 :</w:t>
      </w:r>
      <w:hyperlink w:history="1" r:id="rId59">
        <w:bookmarkStart w:name="_Toc242564026" w:id="140"/>
        <w:r w:rsidRPr="00682E50" w:rsidR="00682E50">
          <w:rPr>
            <w:rStyle w:val="Hyperlink"/>
            <w:rFonts w:ascii="Aptos" w:hAnsi="Aptos"/>
            <w:sz w:val="22"/>
            <w:szCs w:val="22"/>
          </w:rPr>
          <w:t xml:space="preserve"> Éléphants (Elephantidae spp.) : Rapport du Secrétariat</w:t>
        </w:r>
      </w:hyperlink>
      <w:r w:rsidRPr="00682E50" w:rsidR="00682E50">
        <w:rPr>
          <w:rFonts w:ascii="Aptos" w:hAnsi="Aptos"/>
          <w:sz w:val="22"/>
          <w:szCs w:val="22"/>
        </w:rPr>
        <w:t xml:space="preserve"> </w:t>
      </w:r>
      <w:bookmarkEnd w:id="139"/>
      <w:bookmarkEnd w:id="140"/>
    </w:p>
    <w:p w:rsidR="00682E50" w:rsidP="00682E50" w:rsidRDefault="00682E50" w14:paraId="231B3A4F" w14:textId="77777777">
      <w:pPr>
        <w:pStyle w:val="SC81Normal"/>
        <w:spacing w:after="0"/>
      </w:pPr>
    </w:p>
    <w:p w:rsidRPr="00682E50" w:rsidR="00682E50" w:rsidP="00682E50" w:rsidRDefault="00682E50" w14:paraId="2450ECB8" w14:textId="102629B8">
      <w:pPr>
        <w:pStyle w:val="SC81Normal"/>
        <w:spacing w:after="0"/>
      </w:pPr>
      <w:r>
        <w:t xml:space="preserve">Nous apprécions les données actualisées fournies par MIKE et ETIS ; toutefois, nous appelons à une vigilance constante. </w:t>
      </w:r>
    </w:p>
    <w:p w:rsidR="5403C073" w:rsidP="5403C073" w:rsidRDefault="5403C073" w14:paraId="07E53420" w14:textId="075B5AC8">
      <w:pPr>
        <w:pStyle w:val="SC81Normal"/>
        <w:spacing w:after="0"/>
      </w:pPr>
    </w:p>
    <w:p w:rsidRPr="00682E50" w:rsidR="00682E50" w:rsidP="00682E50" w:rsidRDefault="00682E50" w14:paraId="4F96222A" w14:textId="77777777">
      <w:pPr>
        <w:pStyle w:val="SC81Normal"/>
        <w:spacing w:after="0"/>
      </w:pPr>
      <w:r w:rsidRPr="00682E50">
        <w:t xml:space="preserve">Par exemple, malgré un déclin potentiel à l’échelle continentale, même des tendances à la stabilisation dans des sous-régions telles que l’Afrique de l’Est peuvent encore être liées à des saisies récentes au Kenya, en Tanzanie et ailleurs. Les tendances continentales concernant la détection de carcasses d’éléphants tués illégalement ne doivent pas détourner l’attention des défis persistants liés à la lutte contre le braconnage des éléphants en Afrique centrale. </w:t>
      </w:r>
    </w:p>
    <w:p w:rsidR="00682E50" w:rsidP="00682E50" w:rsidRDefault="00682E50" w14:paraId="4DA97E7F" w14:textId="77777777">
      <w:pPr>
        <w:pStyle w:val="SC81Normal"/>
        <w:spacing w:after="0"/>
      </w:pPr>
      <w:r w:rsidRPr="00682E50">
        <w:lastRenderedPageBreak/>
      </w:r>
      <w:r w:rsidRPr="00682E50">
        <w:t xml:space="preserve">Il pourrait sembler que des scores PIKE distincts pour les éléphants de forêt et les éléphants de savane permettraient un examen plus approfondi, mais nous estimons que les scores PIKE sous-régionaux pour l’Afrique centrale remplissent essentiellement cette fonction. De plus, le volume élevé d’ivoire travaillé dans le commerce doit nous rappeler qu’il est difficile de différencier l’ivoire provenant de différentes espèces d’éléphants une fois qu’il a été travaillé, et que toute divergence dans les tendances ne doit pas déboucher sur des stratégies de gestion très divergentes pour les espèces d’éléphants d’Afrique. </w:t>
      </w:r>
    </w:p>
    <w:p w:rsidRPr="00682E50" w:rsidR="00682E50" w:rsidP="00682E50" w:rsidRDefault="00682E50" w14:paraId="0855D465" w14:textId="77777777">
      <w:pPr>
        <w:pStyle w:val="SC81Normal"/>
        <w:spacing w:after="0"/>
      </w:pPr>
    </w:p>
    <w:p w:rsidRPr="00682E50" w:rsidR="00682E50" w:rsidP="00682E50" w:rsidRDefault="00682E50" w14:paraId="7A66B4C9" w14:textId="77777777">
      <w:pPr>
        <w:pStyle w:val="SC81Normal"/>
        <w:spacing w:after="0"/>
      </w:pPr>
      <w:r w:rsidRPr="00682E50">
        <w:t xml:space="preserve">Une préoccupation majeure concerne la sous-déclaration des itinéraires commerciaux lorsque les Parties transmettent leurs rapports à l’ETIS, ce qui compromet considérablement les mesures prises dans le cadre de la CITES, y compris le processus du Plan d’action national sur l’ivoire. Une autre préoccupation, distincte mais liée à la précédente, concerne la faiblesse des rapports sur les marchés nationaux de l’ivoire émanant des Parties où d’importants marchés nationaux sont associés à des saisies d’ivoire travaillé. </w:t>
      </w:r>
    </w:p>
    <w:p w:rsidR="00682E50" w:rsidP="00682E50" w:rsidRDefault="00682E50" w14:paraId="51327D60" w14:textId="77777777">
      <w:pPr>
        <w:spacing w:line="240" w:lineRule="auto"/>
        <w:rPr>
          <w:rFonts w:ascii="Aptos" w:hAnsi="Aptos"/>
        </w:rPr>
      </w:pPr>
    </w:p>
    <w:p w:rsidRPr="00682E50" w:rsidR="00682E50" w:rsidP="00682E50" w:rsidRDefault="00682E50" w14:paraId="03B46EB4" w14:textId="77777777">
      <w:pPr>
        <w:spacing w:line="240" w:lineRule="auto"/>
        <w:rPr>
          <w:rFonts w:ascii="Aptos" w:hAnsi="Aptos"/>
        </w:rPr>
      </w:pPr>
    </w:p>
    <w:p w:rsidR="00682E50" w:rsidP="00682E50" w:rsidRDefault="00682E50" w14:paraId="1900BD8B" w14:textId="70FD0D1A">
      <w:pPr>
        <w:pStyle w:val="Heading1"/>
        <w:rPr>
          <w:rFonts w:ascii="Aptos" w:hAnsi="Aptos"/>
          <w:sz w:val="22"/>
          <w:szCs w:val="22"/>
        </w:rPr>
      </w:pPr>
      <w:bookmarkStart w:name="_57._Jaguars_(Panthera" w:id="141"/>
      <w:bookmarkStart w:name="_Jaguars_(Panthera_onca)" w:id="142"/>
      <w:bookmarkStart w:name="_Toc242564027" w:id="143"/>
      <w:bookmarkEnd w:id="141"/>
      <w:r>
        <w:rPr>
          <w:rFonts w:ascii="Aptos" w:hAnsi="Aptos"/>
          <w:sz w:val="22"/>
          <w:szCs w:val="22"/>
        </w:rPr>
        <w:t xml:space="preserve">57 </w:t>
      </w:r>
      <w:r w:rsidR="00395EA8">
        <w:rPr>
          <w:rFonts w:ascii="Aptos" w:hAnsi="Aptos"/>
          <w:sz w:val="22"/>
          <w:szCs w:val="22"/>
        </w:rPr>
        <w:t xml:space="preserve">: </w:t>
      </w:r>
      <w:hyperlink w:history="1" r:id="rId60">
        <w:r w:rsidRPr="00682E50">
          <w:rPr>
            <w:rStyle w:val="Hyperlink"/>
            <w:rFonts w:ascii="Aptos" w:hAnsi="Aptos"/>
            <w:sz w:val="22"/>
            <w:szCs w:val="22"/>
          </w:rPr>
          <w:t xml:space="preserve">Jaguars (</w:t>
        </w:r>
        <w:r w:rsidRPr="00682E50">
          <w:rPr>
            <w:rStyle w:val="Hyperlink"/>
            <w:rFonts w:ascii="Aptos" w:hAnsi="Aptos"/>
            <w:i/>
            <w:iCs/>
            <w:sz w:val="22"/>
            <w:szCs w:val="22"/>
          </w:rPr>
          <w:t xml:space="preserve">Panthera onca</w:t>
        </w:r>
        <w:r w:rsidRPr="00682E50">
          <w:rPr>
            <w:rStyle w:val="Hyperlink"/>
            <w:rFonts w:ascii="Aptos" w:hAnsi="Aptos"/>
            <w:sz w:val="22"/>
            <w:szCs w:val="22"/>
          </w:rPr>
          <w:t xml:space="preserve">) (Décision 20.188)</w:t>
        </w:r>
        <w:bookmarkEnd w:id="142"/>
        <w:bookmarkEnd w:id="143"/>
        <w:r w:rsidRPr="00682E50">
          <w:rPr>
            <w:rStyle w:val="Hyperlink"/>
            <w:rFonts w:ascii="Aptos" w:hAnsi="Aptos"/>
            <w:sz w:val="22"/>
            <w:szCs w:val="22"/>
          </w:rPr>
          <w:t xml:space="preserve"> </w:t>
        </w:r>
      </w:hyperlink>
    </w:p>
    <w:p w:rsidRPr="00682E50" w:rsidR="00682E50" w:rsidP="00682E50" w:rsidRDefault="00682E50" w14:paraId="2E7D0225" w14:textId="77777777"/>
    <w:p w:rsidR="00682E50" w:rsidP="00682E50" w:rsidRDefault="00682E50" w14:paraId="4C744607" w14:textId="77777777">
      <w:pPr>
        <w:pStyle w:val="SC81Normal"/>
        <w:spacing w:after="0"/>
      </w:pPr>
      <w:r w:rsidRPr="00682E50">
        <w:t xml:space="preserve">Le jaguar est une espèce emblématique des Amériques, tant en raison de son importance pour la préservation des paysages naturels et du bon fonctionnement des écosystèmes que de son rôle culturel majeur depuis des siècles dans l’ensemble de son aire de répartition, en particulier pour les peuples et nations autochtones. Nous encourageons les Parties à soutenir toutes les mesures nécessaires en faveur de la conservation de cette espèce emblématique et d’une grande importance écologique. La WCS mène un vaste programme de conservation du jaguar, en collaboration avec les gouvernements et d’autres partenaires, pour la préservation des jaguars et de leurs habitats dans huit pays (Guatemala, Honduras, Colombie, Équateur, Pérou, Bolivie, Paraguay et Brésil). La WCS est très préoccupée par la menace émergente que représente le trafic de parties de jaguar. </w:t>
      </w:r>
    </w:p>
    <w:p w:rsidRPr="00682E50" w:rsidR="00682E50" w:rsidP="00682E50" w:rsidRDefault="00682E50" w14:paraId="74C3BA8F" w14:textId="77777777">
      <w:pPr>
        <w:pStyle w:val="SC81Normal"/>
        <w:spacing w:after="0"/>
      </w:pPr>
    </w:p>
    <w:p w:rsidRPr="00682E50" w:rsidR="00682E50" w:rsidP="00682E50" w:rsidRDefault="00682E50" w14:paraId="23AF4DCA" w14:textId="77777777">
      <w:pPr>
        <w:pStyle w:val="SC81Normal"/>
        <w:spacing w:after="0"/>
      </w:pPr>
      <w:r w:rsidRPr="00682E50">
        <w:t xml:space="preserve">La WCS se réjouit d’être membre du groupe de travail intersessionnel sur le jaguar, et nous remercions le Brésil et le Mexique pour ce document, ainsi que pour leur leadership en tant que coprésidents de ce groupe de travail ; nous remercions tous les membres du groupe de travail pour le dialogue collaboratif sur les menaces pesant sur le jaguar et le rôle que peuvent jouer la mise en œuvre et l’application de la CITES.  Nous avons soumis des commentaires par l’intermédiaire du groupe de travail et nous nous réjouissons de la poursuite du dialogue sur le projet de mandat du comité directeur de la plateforme intergouvernementale, ainsi que sur les modalités de mise en œuvre de la plateforme intergouvernementale pour la conservation du jaguar (y compris le projet de questions directrices), tels que présentés dans le document.</w:t>
      </w:r>
    </w:p>
    <w:p w:rsidR="00682E50" w:rsidP="00682E50" w:rsidRDefault="00682E50" w14:paraId="174810A8" w14:textId="77777777">
      <w:pPr>
        <w:spacing w:line="240" w:lineRule="auto"/>
        <w:rPr>
          <w:rFonts w:ascii="Aptos" w:hAnsi="Aptos" w:eastAsia="Aptos" w:cs="Aptos"/>
          <w:color w:val="B8CCE4" w:themeColor="accent1" w:themeTint="66"/>
          <w:lang w:val="en-US"/>
        </w:rPr>
      </w:pPr>
    </w:p>
    <w:p w:rsidR="5403C073" w:rsidP="5403C073" w:rsidRDefault="5403C073" w14:paraId="64F964C9" w14:textId="7B3D918F">
      <w:pPr>
        <w:spacing w:line="240" w:lineRule="auto"/>
        <w:rPr>
          <w:rFonts w:ascii="Aptos" w:hAnsi="Aptos" w:eastAsia="Aptos" w:cs="Aptos"/>
          <w:color w:val="B8CCE4" w:themeColor="accent1" w:themeTint="66"/>
          <w:lang w:val="en-US"/>
        </w:rPr>
      </w:pPr>
    </w:p>
    <w:p w:rsidRPr="00682E50" w:rsidR="00682E50" w:rsidP="00682E50" w:rsidRDefault="00682E50" w14:paraId="3692CD6A" w14:textId="77777777">
      <w:pPr>
        <w:spacing w:line="240" w:lineRule="auto"/>
        <w:rPr>
          <w:rFonts w:ascii="Aptos" w:hAnsi="Aptos" w:eastAsia="Aptos" w:cs="Aptos"/>
          <w:color w:val="B8CCE4" w:themeColor="accent1" w:themeTint="66"/>
          <w:lang w:val="en-US"/>
        </w:rPr>
      </w:pPr>
    </w:p>
    <w:p w:rsidRPr="00682E50" w:rsidR="00682E50" w:rsidP="00682E50" w:rsidRDefault="00682E50" w14:paraId="42B3C171" w14:textId="2E69B9A9">
      <w:pPr>
        <w:pStyle w:val="Heading1"/>
        <w:rPr>
          <w:rFonts w:ascii="Aptos" w:hAnsi="Aptos"/>
          <w:sz w:val="22"/>
          <w:szCs w:val="22"/>
        </w:rPr>
      </w:pPr>
      <w:bookmarkStart w:name="_58._Implementation_of_1" w:id="144"/>
      <w:bookmarkStart w:name="_Implementation_of_Resolution" w:id="145"/>
      <w:bookmarkStart w:name="_Toc242564028" w:id="146"/>
      <w:bookmarkEnd w:id="144"/>
      <w:r>
        <w:rPr>
          <w:rFonts w:ascii="Aptos" w:hAnsi="Aptos"/>
          <w:sz w:val="22"/>
          <w:szCs w:val="22"/>
        </w:rPr>
        <w:t xml:space="preserve">58 </w:t>
      </w:r>
      <w:r w:rsidR="00395EA8">
        <w:rPr>
          <w:rFonts w:ascii="Aptos" w:hAnsi="Aptos"/>
          <w:sz w:val="22"/>
          <w:szCs w:val="22"/>
        </w:rPr>
        <w:t xml:space="preserve">:</w:t>
      </w:r>
      <w:hyperlink w:history="1" r:id="rId61">
        <w:bookmarkStart w:name="_58._Implementation_of" w:id="147"/>
        <w:r w:rsidRPr="00682E50">
          <w:rPr>
            <w:rStyle w:val="Hyperlink"/>
            <w:rFonts w:ascii="Aptos" w:hAnsi="Aptos"/>
            <w:sz w:val="22"/>
            <w:szCs w:val="22"/>
          </w:rPr>
          <w:t xml:space="preserve"> Mise en œuvre de la résolution Conf. 12.5 (Rev. CoP20) : Tigres (</w:t>
        </w:r>
        <w:r w:rsidRPr="00682E50">
          <w:rPr>
            <w:rStyle w:val="Hyperlink"/>
            <w:rFonts w:ascii="Aptos" w:hAnsi="Aptos"/>
            <w:i/>
            <w:iCs/>
            <w:sz w:val="22"/>
            <w:szCs w:val="22"/>
          </w:rPr>
          <w:t xml:space="preserve">Panthera </w:t>
        </w:r>
        <w:r w:rsidRPr="00682E50">
          <w:rPr>
            <w:rStyle w:val="Hyperlink"/>
            <w:rFonts w:ascii="Aptos" w:hAnsi="Aptos"/>
            <w:i/>
            <w:iCs/>
            <w:sz w:val="22"/>
            <w:szCs w:val="22"/>
          </w:rPr>
          <w:t xml:space="preserve">tigris</w:t>
        </w:r>
        <w:r w:rsidRPr="00682E50">
          <w:rPr>
            <w:rStyle w:val="Hyperlink"/>
            <w:rFonts w:ascii="Aptos" w:hAnsi="Aptos"/>
            <w:i/>
            <w:iCs/>
            <w:sz w:val="22"/>
            <w:szCs w:val="22"/>
          </w:rPr>
          <w:t xml:space="preserve">) </w:t>
        </w:r>
        <w:r w:rsidRPr="00682E50">
          <w:rPr>
            <w:rStyle w:val="Hyperlink"/>
            <w:rFonts w:ascii="Aptos" w:hAnsi="Aptos"/>
            <w:sz w:val="22"/>
            <w:szCs w:val="22"/>
          </w:rPr>
          <w:t xml:space="preserve">en captivité</w:t>
        </w:r>
      </w:hyperlink>
      <w:r w:rsidRPr="00682E50">
        <w:rPr>
          <w:rFonts w:ascii="Aptos" w:hAnsi="Aptos"/>
          <w:sz w:val="22"/>
          <w:szCs w:val="22"/>
        </w:rPr>
        <w:t xml:space="preserve"> (décision 20.189)</w:t>
      </w:r>
      <w:bookmarkEnd w:id="145"/>
      <w:bookmarkEnd w:id="146"/>
      <w:bookmarkEnd w:id="147"/>
      <w:r w:rsidRPr="00682E50">
        <w:rPr>
          <w:rFonts w:ascii="Aptos" w:hAnsi="Aptos"/>
          <w:sz w:val="22"/>
          <w:szCs w:val="22"/>
        </w:rPr>
        <w:t xml:space="preserve"> </w:t>
      </w:r>
    </w:p>
    <w:p w:rsidR="00682E50" w:rsidP="00682E50" w:rsidRDefault="00682E50" w14:paraId="5A95EF9F" w14:textId="77777777">
      <w:pPr>
        <w:pStyle w:val="SC81Normal"/>
        <w:spacing w:after="0"/>
      </w:pPr>
    </w:p>
    <w:p w:rsidRPr="00682E50" w:rsidR="00682E50" w:rsidP="00682E50" w:rsidRDefault="00682E50" w14:paraId="0510DFAD" w14:textId="68BDF612">
      <w:pPr>
        <w:pStyle w:val="SC81Normal"/>
        <w:spacing w:after="0"/>
      </w:pPr>
      <w:r w:rsidRPr="00682E50">
        <w:t xml:space="preserve">La WCS se félicite des informations fournies par les Parties qui ont répondu aux notifications, mais s’inquiète du fait que plusieurs Parties, reconnues pour abriter un grand nombre d’établissements élevant ou hébergeant des tigres, n’aient pas répondu à la demande, notamment la République démocratique populaire du Laos et l’Afrique du Sud. Nous notons avec une inquiétude supplémentaire certaines des réponses spécifiques à chaque pays, notamment les informations concernant les spécimens pouvant être rattachés à la lignée de l’Asie du Sud-Est continentale, alors que l’analyse ADN des spécimens en captivité dans des installations privées est incomplète pour de nombreux pays et que les informations mentionnées sont souvent obsolètes.</w:t>
      </w:r>
    </w:p>
    <w:p w:rsidR="00682E50" w:rsidP="00682E50" w:rsidRDefault="00682E50" w14:paraId="0E332462" w14:textId="77777777">
      <w:pPr>
        <w:pStyle w:val="SC81Normal"/>
        <w:spacing w:after="0"/>
      </w:pPr>
    </w:p>
    <w:p w:rsidRPr="00682E50" w:rsidR="00682E50" w:rsidP="00682E50" w:rsidRDefault="00682E50" w14:paraId="7361983B" w14:textId="451693DB">
      <w:pPr>
        <w:pStyle w:val="SC81Normal"/>
        <w:spacing w:after="0"/>
      </w:pPr>
      <w:r w:rsidRPr="00682E50">
        <w:t xml:space="preserve">La WCS soutient les recommandations du Secrétariat et convient </w:t>
      </w:r>
      <w:r w:rsidRPr="00682E50">
        <w:t xml:space="preserve">qu’il serait utile de disposer d’</w:t>
      </w:r>
      <w:r w:rsidRPr="00682E50">
        <w:t xml:space="preserve">un document décrivant les approches méthodologiques à l’intention des Parties sur le territoire desquelles se trouvent des établissements élevant ou hébergeant des tigres à des fins autres que </w:t>
      </w:r>
      <w:r w:rsidRPr="00682E50">
        <w:t xml:space="preserve">des programmes</w:t>
      </w:r>
      <w:r w:rsidRPr="00682E50">
        <w:t xml:space="preserve"> d’élevage de conservation</w:t>
      </w:r>
      <w:r w:rsidRPr="00682E50">
        <w:t xml:space="preserve">. Il existe </w:t>
      </w:r>
      <w:r w:rsidRPr="00682E50">
        <w:t xml:space="preserve">déjà </w:t>
      </w:r>
      <w:r w:rsidRPr="00682E50">
        <w:t xml:space="preserve">un </w:t>
      </w:r>
      <w:r w:rsidRPr="00682E50">
        <w:t xml:space="preserve">nombre</w:t>
      </w:r>
      <w:r w:rsidRPr="00682E50">
        <w:lastRenderedPageBreak/>
      </w:r>
      <w:r w:rsidRPr="00682E50">
        <w:t xml:space="preserve"> de documents élaborés pour aider les pays disposant de telles installations, qui pourraient être adaptés à ces fins.</w:t>
      </w:r>
    </w:p>
    <w:p w:rsidR="00682E50" w:rsidP="00682E50" w:rsidRDefault="00682E50" w14:paraId="4AA092B8" w14:textId="77777777">
      <w:pPr>
        <w:pStyle w:val="SC81Normal"/>
        <w:spacing w:after="0"/>
      </w:pPr>
    </w:p>
    <w:p w:rsidRPr="00682E50" w:rsidR="00682E50" w:rsidP="00682E50" w:rsidRDefault="00682E50" w14:paraId="021A0BF8" w14:textId="5B0785B0">
      <w:pPr>
        <w:pStyle w:val="SC81Normal"/>
        <w:spacing w:after="0"/>
        <w:rPr>
          <w:color w:val="B8CCE4" w:themeColor="accent1" w:themeTint="66"/>
        </w:rPr>
      </w:pPr>
      <w:r w:rsidRPr="00682E50">
        <w:t xml:space="preserve">La WCS reste préoccupée par le fait que, pour bon nombre des pays identifiés dans la décision 20.189, les progrès ont été limités et qu’aucun rapport n’a été soumis par l’Afrique du Sud. Nous soutenons les recommandations contenues dans le document, et en particulier la recommandation e), en notant le nombre important de tigres exportés depuis l’Afrique du Sud ces dernières années et l’inclusion de rapports réguliers sur la mise en œuvre, comme l’exige la résolution Conf. 12.5 (Rev. CoP20), avant la 82e session du Comité de conservation (SC82).</w:t>
      </w:r>
    </w:p>
    <w:p w:rsidR="00682E50" w:rsidP="00682E50" w:rsidRDefault="00682E50" w14:paraId="3C49D839" w14:textId="77777777">
      <w:pPr>
        <w:spacing w:line="240" w:lineRule="auto"/>
        <w:rPr>
          <w:rFonts w:ascii="Aptos" w:hAnsi="Aptos" w:eastAsia="Aptos" w:cs="Aptos"/>
          <w:b/>
          <w:bCs/>
          <w:lang w:val="en-US"/>
        </w:rPr>
      </w:pPr>
    </w:p>
    <w:p w:rsidRPr="00682E50" w:rsidR="00395EA8" w:rsidP="00682E50" w:rsidRDefault="00395EA8" w14:paraId="6F52F98C" w14:textId="77777777">
      <w:pPr>
        <w:spacing w:line="240" w:lineRule="auto"/>
        <w:rPr>
          <w:rFonts w:ascii="Aptos" w:hAnsi="Aptos" w:eastAsia="Aptos" w:cs="Aptos"/>
          <w:b/>
          <w:bCs/>
          <w:lang w:val="en-US"/>
        </w:rPr>
      </w:pPr>
    </w:p>
    <w:p w:rsidRPr="00682E50" w:rsidR="00682E50" w:rsidP="00682E50" w:rsidRDefault="00682E50" w14:paraId="77F8E636" w14:textId="24AFF235">
      <w:pPr>
        <w:pStyle w:val="Heading1"/>
        <w:rPr>
          <w:rFonts w:ascii="Aptos" w:hAnsi="Aptos"/>
          <w:sz w:val="22"/>
          <w:szCs w:val="22"/>
        </w:rPr>
      </w:pPr>
      <w:bookmarkStart w:name="_59._Saiga_antelopes" w:id="148"/>
      <w:bookmarkStart w:name="_Saiga_antelopes_(Saiga" w:id="149"/>
      <w:bookmarkStart w:name="_Toc242564029" w:id="150"/>
      <w:bookmarkEnd w:id="148"/>
      <w:r>
        <w:rPr>
          <w:rFonts w:ascii="Aptos" w:hAnsi="Aptos"/>
          <w:sz w:val="22"/>
          <w:szCs w:val="22"/>
        </w:rPr>
        <w:t xml:space="preserve">59 </w:t>
      </w:r>
      <w:r w:rsidR="00395EA8">
        <w:rPr>
          <w:rFonts w:ascii="Aptos" w:hAnsi="Aptos"/>
          <w:sz w:val="22"/>
          <w:szCs w:val="22"/>
        </w:rPr>
        <w:t xml:space="preserve">: </w:t>
      </w:r>
      <w:hyperlink w:history="1" r:id="rId62">
        <w:r w:rsidRPr="00682E50">
          <w:rPr>
            <w:rStyle w:val="Hyperlink"/>
            <w:rFonts w:ascii="Aptos" w:hAnsi="Aptos"/>
            <w:sz w:val="22"/>
            <w:szCs w:val="22"/>
          </w:rPr>
          <w:t xml:space="preserve">Antilopes saïga (Saiga spp.)</w:t>
        </w:r>
      </w:hyperlink>
      <w:r w:rsidRPr="00682E50">
        <w:rPr>
          <w:rFonts w:ascii="Aptos" w:hAnsi="Aptos"/>
          <w:sz w:val="22"/>
          <w:szCs w:val="22"/>
        </w:rPr>
        <w:t xml:space="preserve"> [Décision 19.216 (Rev. CoP20)]</w:t>
      </w:r>
      <w:bookmarkEnd w:id="149"/>
      <w:bookmarkEnd w:id="150"/>
      <w:r w:rsidRPr="00682E50">
        <w:rPr>
          <w:rFonts w:ascii="Aptos" w:hAnsi="Aptos"/>
          <w:sz w:val="22"/>
          <w:szCs w:val="22"/>
        </w:rPr>
        <w:t xml:space="preserve"> </w:t>
      </w:r>
    </w:p>
    <w:p w:rsidR="00682E50" w:rsidP="00682E50" w:rsidRDefault="00682E50" w14:paraId="0AF74689" w14:textId="77777777">
      <w:pPr>
        <w:pStyle w:val="SC81Normal"/>
        <w:spacing w:after="0"/>
      </w:pPr>
    </w:p>
    <w:p w:rsidRPr="00682E50" w:rsidR="00682E50" w:rsidP="00682E50" w:rsidRDefault="00682E50" w14:paraId="22A49EDA" w14:textId="0D297842">
      <w:pPr>
        <w:pStyle w:val="SC81Normal"/>
        <w:spacing w:after="0"/>
      </w:pPr>
      <w:r w:rsidRPr="00682E50">
        <w:t xml:space="preserve">La WCS salue les efforts déployés par les Parties de l’aire de répartition et les Parties consommatrices qui s’emploient activement à lutter contre le commerce illégal de parties et de produits de saïga et à mettre en œuvre l’inscription actuelle ainsi que l’annotation associée. Nous saluons les efforts déployés par le Secrétariat et les Parties pour mettre en œuvre les décisions 19.213 (Rev. CoP20) à 19.217 (Rev. CoP20) ainsi que les décisions 20.195 à 20.197 concernant les antilopes saïgas.  </w:t>
      </w:r>
    </w:p>
    <w:p w:rsidR="00682E50" w:rsidP="00682E50" w:rsidRDefault="00682E50" w14:paraId="4834D947" w14:textId="77777777">
      <w:pPr>
        <w:pStyle w:val="SC81Normal"/>
        <w:spacing w:after="0"/>
        <w:rPr>
          <w:color w:val="000000" w:themeColor="text1"/>
        </w:rPr>
      </w:pPr>
    </w:p>
    <w:p w:rsidRPr="00682E50" w:rsidR="00682E50" w:rsidP="00682E50" w:rsidRDefault="00682E50" w14:paraId="206EE6FE" w14:textId="4B599EFB">
      <w:pPr>
        <w:pStyle w:val="SC81Normal"/>
        <w:spacing w:after="0"/>
      </w:pPr>
      <w:r w:rsidRPr="00682E50">
        <w:rPr>
          <w:color w:val="000000" w:themeColor="text1"/>
        </w:rPr>
        <w:t xml:space="preserve">Nous sommes préoccupés par la mortalité importante des saïgas enregistrée au Kazakhstan en 2026. Bien que les causes de ces décès restent incertaines, la fièvre aphteuse a été évoquée comme un facteur possible nécessitant des investigations plus approfondies. La fièvre aphteuse </w:t>
      </w:r>
      <w:r w:rsidRPr="00682E50">
        <w:t xml:space="preserve">est une maladie importante du bétail et a également été responsable d’une morbidité et d’une mortalité importantes chez les saïgas. Les saïgas sont des ongulés migrateurs très mobiles, et les épidémies à grande échelle qui les touchent ont donc des conséquences sur leur conservation, dans un environnement qu’ils partagent avec le bétail. Dans le cadre de la mise en œuvre des réglementations et décisions de la CITES en matière de commerce, il est essentiel que les Parties et le Secrétariat soient pleinement informés de cette question. </w:t>
      </w:r>
    </w:p>
    <w:p w:rsidR="00682E50" w:rsidP="00682E50" w:rsidRDefault="00682E50" w14:paraId="0A3CD60E" w14:textId="77777777">
      <w:pPr>
        <w:pStyle w:val="SC81Normal"/>
        <w:spacing w:after="0"/>
      </w:pPr>
    </w:p>
    <w:p w:rsidRPr="00682E50" w:rsidR="00682E50" w:rsidP="00682E50" w:rsidRDefault="00682E50" w14:paraId="59A050EC" w14:textId="2E804752">
      <w:pPr>
        <w:pStyle w:val="SC81Normal"/>
        <w:spacing w:after="0"/>
      </w:pPr>
      <w:r w:rsidRPr="00682E50">
        <w:t xml:space="preserve">Nous sommes également préoccupés par les exportations signalées de spécimens de saïga utilisant le code d’origine « O » ; au vu des informations disponibles sur les stocks, il est légitime de se demander si des spécimens datant de plus de 30 ans font désormais l’objet d’échanges commerciaux. Cela met en évidence les graves lacunes dans la gestion des stocks dans de nombreux États de l’aire de répartition et États consommateurs.  </w:t>
      </w:r>
    </w:p>
    <w:p w:rsidR="00682E50" w:rsidP="00682E50" w:rsidRDefault="00682E50" w14:paraId="40C01A26" w14:textId="77777777">
      <w:pPr>
        <w:pStyle w:val="SC81Normal"/>
        <w:spacing w:after="0"/>
      </w:pPr>
    </w:p>
    <w:p w:rsidRPr="00682E50" w:rsidR="00682E50" w:rsidP="00682E50" w:rsidRDefault="00682E50" w14:paraId="764D65D7" w14:textId="5AEC9294">
      <w:pPr>
        <w:pStyle w:val="SC81Normal"/>
        <w:spacing w:after="0"/>
      </w:pPr>
      <w:r w:rsidRPr="00682E50">
        <w:t xml:space="preserve">Les décisions actuelles et le rapport du Secrétariat soulignent la nécessité d’une coopération internationale pour lutter contre le commerce illégal et le commerce légal en suspens des cornes de saïga. La WCS note le rôle essentiel de la législation nationale pour faciliter les saisies, la déclaration précise des stocks, la surveillance et la gestion. L’absence d’un système unifié de collecte et de gestion des données complique encore davantage cette question, ce qui peut conduire à des estimations inexactes des stocks. Nous recommandons l’adoption d’une décision encourageant une réforme législative visant à garantir l’exactitude des estimations, des déclarations et de la gestion des stocks dans tous les États de l’aire de répartition et les États consommateurs. </w:t>
      </w:r>
    </w:p>
    <w:p w:rsidR="00682E50" w:rsidP="00682E50" w:rsidRDefault="00682E50" w14:paraId="3EA1F61C" w14:textId="77777777">
      <w:pPr>
        <w:spacing w:line="240" w:lineRule="auto"/>
        <w:rPr>
          <w:rFonts w:ascii="Aptos" w:hAnsi="Aptos" w:eastAsia="Aptos" w:cs="Aptos"/>
          <w:lang w:val="en-US"/>
        </w:rPr>
      </w:pPr>
    </w:p>
    <w:p w:rsidR="00682E50" w:rsidP="00682E50" w:rsidRDefault="00682E50" w14:paraId="1248EFD4" w14:textId="24B7EA3D">
      <w:pPr>
        <w:spacing w:line="240" w:lineRule="auto"/>
        <w:rPr>
          <w:rFonts w:ascii="Aptos" w:hAnsi="Aptos" w:eastAsia="Aptos" w:cs="Aptos"/>
        </w:rPr>
      </w:pPr>
      <w:r w:rsidRPr="00682E50">
        <w:rPr>
          <w:rFonts w:ascii="Aptos" w:hAnsi="Aptos" w:eastAsia="Aptos" w:cs="Aptos"/>
          <w:lang w:val="en-US"/>
        </w:rPr>
        <w:t xml:space="preserve">Nous encourageons les États de l’aire de répartition, les Parties, le Comité consultatif (AC), le Comité des espèces (SC) et le Secrétariat à suivre les tendances actuelles des populations de saïgas. </w:t>
      </w:r>
      <w:r w:rsidRPr="00682E50">
        <w:rPr>
          <w:rFonts w:ascii="Aptos" w:hAnsi="Aptos" w:eastAsia="Aptos" w:cs="Aptos"/>
        </w:rPr>
        <w:t xml:space="preserve">Nous exhortons tous les États de l’aire de répartition, et le Kazakhstan en particulier, à :</w:t>
      </w:r>
    </w:p>
    <w:p w:rsidRPr="00682E50" w:rsidR="00682E50" w:rsidP="00682E50" w:rsidRDefault="00682E50" w14:paraId="40B7F34E" w14:textId="77777777">
      <w:pPr>
        <w:spacing w:line="240" w:lineRule="auto"/>
        <w:rPr>
          <w:rFonts w:ascii="Aptos" w:hAnsi="Aptos"/>
        </w:rPr>
      </w:pPr>
    </w:p>
    <w:p w:rsidRPr="00682E50" w:rsidR="00682E50" w:rsidP="00682E50" w:rsidRDefault="00682E50" w14:paraId="1325621F" w14:textId="77777777">
      <w:pPr>
        <w:pStyle w:val="ListParagraph"/>
        <w:numPr>
          <w:ilvl w:val="0"/>
          <w:numId w:val="9"/>
        </w:numPr>
        <w:spacing w:line="240" w:lineRule="auto"/>
        <w:rPr>
          <w:rFonts w:ascii="Aptos" w:hAnsi="Aptos" w:eastAsia="Aptos" w:cs="Aptos"/>
          <w:lang w:val="en-US"/>
        </w:rPr>
      </w:pPr>
      <w:r w:rsidRPr="00682E50">
        <w:rPr>
          <w:rFonts w:ascii="Aptos" w:hAnsi="Aptos" w:eastAsia="Aptos" w:cs="Aptos"/>
          <w:lang w:val="en-US"/>
        </w:rPr>
        <w:t xml:space="preserve">déterminer l’ampleur réelle, le moment et la répartition géographique de la mortalité récente des saïgas ;</w:t>
      </w:r>
    </w:p>
    <w:p w:rsidRPr="00682E50" w:rsidR="00682E50" w:rsidP="00682E50" w:rsidRDefault="00682E50" w14:paraId="1C320B64" w14:textId="77777777">
      <w:pPr>
        <w:pStyle w:val="ListParagraph"/>
        <w:numPr>
          <w:ilvl w:val="0"/>
          <w:numId w:val="9"/>
        </w:numPr>
        <w:spacing w:line="240" w:lineRule="auto"/>
        <w:rPr>
          <w:rFonts w:ascii="Aptos" w:hAnsi="Aptos" w:eastAsia="Aptos" w:cs="Aptos"/>
        </w:rPr>
      </w:pPr>
      <w:r w:rsidRPr="00682E50">
        <w:rPr>
          <w:rFonts w:ascii="Aptos" w:hAnsi="Aptos" w:eastAsia="Aptos" w:cs="Aptos"/>
        </w:rPr>
        <w:t xml:space="preserve">prélever et analyser des échantillons diagnostiques représentatifs provenant de carcasses fraîches de saïgas et d’animaux d’élevage sympatriques ; </w:t>
      </w:r>
    </w:p>
    <w:p w:rsidRPr="00682E50" w:rsidR="00682E50" w:rsidP="00682E50" w:rsidRDefault="00682E50" w14:paraId="46EBC3C9" w14:textId="77777777">
      <w:pPr>
        <w:pStyle w:val="ListParagraph"/>
        <w:numPr>
          <w:ilvl w:val="0"/>
          <w:numId w:val="9"/>
        </w:numPr>
        <w:spacing w:line="240" w:lineRule="auto"/>
        <w:rPr>
          <w:rFonts w:ascii="Aptos" w:hAnsi="Aptos" w:eastAsia="Aptos" w:cs="Aptos"/>
          <w:lang w:val="en-US"/>
        </w:rPr>
      </w:pPr>
      <w:r w:rsidRPr="00682E50">
        <w:rPr>
          <w:rFonts w:ascii="Aptos" w:hAnsi="Aptos" w:eastAsia="Aptos" w:cs="Aptos"/>
          <w:lang w:val="en-US"/>
        </w:rPr>
        <w:t xml:space="preserve">déterminer si le virus de la fièvre aphteuse est présent et, le cas échéant, identifier le sérotype et caractériser le virus au moyen d’analyses moléculaires et génomiques appropriées ;  </w:t>
      </w:r>
    </w:p>
    <w:p w:rsidRPr="00682E50" w:rsidR="00682E50" w:rsidP="00682E50" w:rsidRDefault="00682E50" w14:paraId="5DC2C24C" w14:textId="77777777">
      <w:pPr>
        <w:pStyle w:val="ListParagraph"/>
        <w:numPr>
          <w:ilvl w:val="0"/>
          <w:numId w:val="9"/>
        </w:numPr>
        <w:spacing w:line="240" w:lineRule="auto"/>
        <w:rPr>
          <w:rFonts w:ascii="Aptos" w:hAnsi="Aptos" w:eastAsia="Aptos" w:cs="Aptos"/>
        </w:rPr>
      </w:pPr>
      <w:r w:rsidRPr="00682E50">
        <w:rPr>
          <w:rFonts w:ascii="Aptos" w:hAnsi="Aptos" w:eastAsia="Aptos" w:cs="Aptos"/>
        </w:rPr>
        <w:t xml:space="preserve">comparer les virus détectés au Kazakhstan avec ceux circulant ailleurs dans la région ;</w:t>
      </w:r>
    </w:p>
    <w:p w:rsidRPr="00682E50" w:rsidR="00682E50" w:rsidP="00682E50" w:rsidRDefault="00682E50" w14:paraId="13A4B401" w14:textId="77777777">
      <w:pPr>
        <w:pStyle w:val="ListParagraph"/>
        <w:numPr>
          <w:ilvl w:val="0"/>
          <w:numId w:val="9"/>
        </w:numPr>
        <w:spacing w:line="240" w:lineRule="auto"/>
        <w:rPr>
          <w:rFonts w:ascii="Aptos" w:hAnsi="Aptos" w:eastAsia="Aptos" w:cs="Aptos"/>
        </w:rPr>
      </w:pPr>
      <w:r w:rsidRPr="00682E50">
        <w:rPr>
          <w:rFonts w:ascii="Aptos" w:hAnsi="Aptos" w:eastAsia="Aptos" w:cs="Aptos"/>
        </w:rPr>
        <w:lastRenderedPageBreak/>
      </w:r>
      <w:r w:rsidRPr="00682E50">
        <w:rPr>
          <w:rFonts w:ascii="Aptos" w:hAnsi="Aptos" w:eastAsia="Aptos" w:cs="Aptos"/>
        </w:rPr>
        <w:t xml:space="preserve">Et de prendre en compte les mortalités importantes dues à la fièvre aphteuse dans la gestion du saïga.</w:t>
      </w:r>
    </w:p>
    <w:p w:rsidR="00682E50" w:rsidP="00682E50" w:rsidRDefault="00682E50" w14:paraId="309A4E66" w14:textId="77777777">
      <w:pPr>
        <w:spacing w:line="240" w:lineRule="auto"/>
        <w:rPr>
          <w:rFonts w:ascii="Aptos" w:hAnsi="Aptos" w:eastAsia="Aptos" w:cs="Aptos"/>
          <w:b/>
          <w:bCs/>
        </w:rPr>
      </w:pPr>
    </w:p>
    <w:p w:rsidRPr="00682E50" w:rsidR="00395EA8" w:rsidP="00682E50" w:rsidRDefault="00395EA8" w14:paraId="71B55237" w14:textId="77777777">
      <w:pPr>
        <w:spacing w:line="240" w:lineRule="auto"/>
        <w:rPr>
          <w:rFonts w:ascii="Aptos" w:hAnsi="Aptos" w:eastAsia="Aptos" w:cs="Aptos"/>
          <w:b/>
          <w:bCs/>
        </w:rPr>
      </w:pPr>
    </w:p>
    <w:p w:rsidRPr="00682E50" w:rsidR="00682E50" w:rsidP="5403C073" w:rsidRDefault="00682E50" w14:paraId="2ABE7633" w14:textId="488F56E7">
      <w:pPr>
        <w:pStyle w:val="Heading1"/>
        <w:rPr>
          <w:rFonts w:ascii="Aptos" w:hAnsi="Aptos"/>
          <w:sz w:val="22"/>
          <w:szCs w:val="22"/>
          <w:lang w:val="en-US"/>
        </w:rPr>
      </w:pPr>
      <w:bookmarkStart w:name="_60._Sharks_and" w:id="151"/>
      <w:bookmarkStart w:name="_60:_Sharks_and" w:id="152"/>
      <w:bookmarkStart w:name="_Sharks_and_rays" w:id="153"/>
      <w:bookmarkStart w:name="_Toc242564030" w:id="154"/>
      <w:bookmarkEnd w:id="151"/>
      <w:bookmarkEnd w:id="152"/>
      <w:r w:rsidRPr="5403C073">
        <w:rPr>
          <w:rFonts w:ascii="Aptos" w:hAnsi="Aptos"/>
          <w:sz w:val="22"/>
          <w:szCs w:val="22"/>
          <w:lang w:val="en-US"/>
        </w:rPr>
        <w:t xml:space="preserve">60 </w:t>
      </w:r>
      <w:r w:rsidRPr="5403C073" w:rsidR="00395EA8">
        <w:rPr>
          <w:rFonts w:ascii="Aptos" w:hAnsi="Aptos"/>
          <w:sz w:val="22"/>
          <w:szCs w:val="22"/>
          <w:lang w:val="en-US"/>
        </w:rPr>
        <w:t xml:space="preserve">: </w:t>
      </w:r>
      <w:r w:rsidRPr="5403C073">
        <w:rPr>
          <w:rFonts w:ascii="Aptos" w:hAnsi="Aptos"/>
          <w:sz w:val="22"/>
          <w:szCs w:val="22"/>
          <w:lang w:val="en-US"/>
        </w:rPr>
        <w:t xml:space="preserve">Requins et raies (Elasmobranchii spp.) (Décisions 20.211 et 20.212)</w:t>
      </w:r>
      <w:bookmarkEnd w:id="153"/>
      <w:bookmarkEnd w:id="154"/>
      <w:r w:rsidRPr="5403C073">
        <w:rPr>
          <w:rFonts w:ascii="Aptos" w:hAnsi="Aptos"/>
          <w:sz w:val="22"/>
          <w:szCs w:val="22"/>
          <w:lang w:val="en-US"/>
        </w:rPr>
        <w:t xml:space="preserve">  </w:t>
      </w:r>
    </w:p>
    <w:p w:rsidR="00682E50" w:rsidP="00682E50" w:rsidRDefault="00682E50" w14:paraId="2E96A59D" w14:textId="77777777">
      <w:pPr>
        <w:spacing w:line="240" w:lineRule="auto"/>
        <w:rPr>
          <w:rFonts w:ascii="Aptos" w:hAnsi="Aptos" w:eastAsia="Aptos" w:cs="Aptos"/>
          <w:b/>
          <w:bCs/>
          <w:lang w:val="en-US"/>
        </w:rPr>
      </w:pPr>
    </w:p>
    <w:p w:rsidR="00682E50" w:rsidP="00682E50" w:rsidRDefault="00682E50" w14:paraId="75F11AF0" w14:textId="0E07E41F">
      <w:pPr>
        <w:spacing w:line="240" w:lineRule="auto"/>
        <w:rPr>
          <w:rFonts w:ascii="Aptos" w:hAnsi="Aptos" w:eastAsia="Aptos" w:cs="Aptos"/>
          <w:color w:val="B8CCE4" w:themeColor="accent1" w:themeTint="66"/>
          <w:lang w:val="en-SG"/>
        </w:rPr>
      </w:pPr>
      <w:r w:rsidRPr="73356980">
        <w:rPr>
          <w:rFonts w:ascii="Aptos" w:hAnsi="Aptos" w:eastAsia="Aptos" w:cs="Aptos"/>
          <w:color w:val="B8CCE4" w:themeColor="accent1" w:themeTint="66"/>
          <w:lang w:val="en-SG"/>
        </w:rPr>
        <w:t xml:space="preserve">Nous nous réjouissons de pouvoir fournir </w:t>
      </w:r>
      <w:r w:rsidRPr="73356980" w:rsidR="305BD414">
        <w:rPr>
          <w:rFonts w:ascii="Aptos" w:hAnsi="Aptos" w:eastAsia="Aptos" w:cs="Aptos"/>
          <w:color w:val="B8CCE4" w:themeColor="accent1" w:themeTint="66"/>
          <w:lang w:val="en-SG"/>
        </w:rPr>
        <w:t xml:space="preserve">des commentaires</w:t>
      </w:r>
      <w:r w:rsidRPr="73356980">
        <w:rPr>
          <w:rFonts w:ascii="Aptos" w:hAnsi="Aptos" w:eastAsia="Aptos" w:cs="Aptos"/>
          <w:color w:val="B8CCE4" w:themeColor="accent1" w:themeTint="66"/>
          <w:lang w:val="en-SG"/>
        </w:rPr>
        <w:t xml:space="preserve"> supplémentaires </w:t>
      </w:r>
      <w:r w:rsidRPr="73356980">
        <w:rPr>
          <w:rFonts w:ascii="Aptos" w:hAnsi="Aptos" w:eastAsia="Aptos" w:cs="Aptos"/>
          <w:color w:val="B8CCE4" w:themeColor="accent1" w:themeTint="66"/>
          <w:lang w:val="en-SG"/>
        </w:rPr>
        <w:t xml:space="preserve">à l’approche de la 81e session du Comité scientifique (SC81). </w:t>
      </w:r>
    </w:p>
    <w:p w:rsidRPr="00395EA8" w:rsidR="00395EA8" w:rsidP="00682E50" w:rsidRDefault="00395EA8" w14:paraId="0DD57F45" w14:textId="77777777">
      <w:pPr>
        <w:spacing w:line="240" w:lineRule="auto"/>
        <w:rPr>
          <w:rFonts w:ascii="Aptos" w:hAnsi="Aptos" w:eastAsia="Aptos" w:cs="Aptos"/>
          <w:color w:val="B8CCE4" w:themeColor="accent1" w:themeTint="66"/>
          <w:lang w:val="en-SG"/>
        </w:rPr>
      </w:pPr>
    </w:p>
    <w:p w:rsidR="00395EA8" w:rsidP="00682E50" w:rsidRDefault="00395EA8" w14:paraId="56C7A75A" w14:textId="77777777">
      <w:pPr>
        <w:spacing w:line="240" w:lineRule="auto"/>
        <w:rPr>
          <w:rFonts w:ascii="Aptos" w:hAnsi="Aptos"/>
        </w:rPr>
      </w:pPr>
    </w:p>
    <w:p w:rsidRPr="00682E50" w:rsidR="00FC639F" w:rsidP="00682E50" w:rsidRDefault="00FC639F" w14:paraId="429F8F06" w14:textId="77777777">
      <w:pPr>
        <w:spacing w:line="240" w:lineRule="auto"/>
        <w:rPr>
          <w:rFonts w:ascii="Aptos" w:hAnsi="Aptos"/>
        </w:rPr>
      </w:pPr>
    </w:p>
    <w:p w:rsidRPr="00682E50" w:rsidR="00682E50" w:rsidP="00682E50" w:rsidRDefault="00682E50" w14:paraId="40FADB5F" w14:textId="5C99C674">
      <w:pPr>
        <w:spacing w:line="240" w:lineRule="auto"/>
        <w:rPr>
          <w:rFonts w:ascii="Aptos" w:hAnsi="Aptos" w:eastAsia="Aptos" w:cs="Aptos"/>
          <w:b/>
          <w:bCs/>
        </w:rPr>
      </w:pPr>
      <w:r w:rsidRPr="00682E50">
        <w:rPr>
          <w:rFonts w:ascii="Aptos" w:hAnsi="Aptos" w:eastAsia="Aptos" w:cs="Aptos"/>
          <w:b/>
          <w:bCs/>
          <w:u w:val="single"/>
        </w:rPr>
        <w:t xml:space="preserve">Annexe : </w:t>
      </w:r>
      <w:r w:rsidR="00FC639F">
        <w:rPr>
          <w:rFonts w:ascii="Aptos" w:hAnsi="Aptos" w:eastAsia="Aptos" w:cs="Aptos"/>
          <w:b/>
          <w:bCs/>
          <w:u w:val="single"/>
        </w:rPr>
        <w:t xml:space="preserve">Liste des acronymes</w:t>
      </w:r>
    </w:p>
    <w:p w:rsidRPr="00682E50" w:rsidR="00682E50" w:rsidP="00682E50" w:rsidRDefault="00682E50" w14:paraId="72BEA460" w14:textId="77777777">
      <w:pPr>
        <w:spacing w:line="240" w:lineRule="auto"/>
        <w:rPr>
          <w:rFonts w:ascii="Aptos" w:hAnsi="Aptos" w:eastAsia="Aptos" w:cs="Aptos"/>
          <w:u w:val="single"/>
        </w:rPr>
      </w:pPr>
    </w:p>
    <w:p w:rsidRPr="00682E50" w:rsidR="00682E50" w:rsidP="00682E50" w:rsidRDefault="00682E50" w14:paraId="16B4E10D" w14:textId="77777777">
      <w:pPr>
        <w:spacing w:line="240" w:lineRule="auto"/>
        <w:rPr>
          <w:rFonts w:ascii="Aptos" w:hAnsi="Aptos" w:eastAsia="Aptos" w:cs="Aptos"/>
        </w:rPr>
      </w:pPr>
      <w:r w:rsidRPr="00682E50">
        <w:rPr>
          <w:rFonts w:ascii="Aptos" w:hAnsi="Aptos" w:eastAsia="Aptos" w:cs="Aptos"/>
        </w:rPr>
        <w:t xml:space="preserve">ABNJ</w:t>
      </w:r>
      <w:r w:rsidRPr="00682E50">
        <w:rPr>
          <w:rFonts w:ascii="Aptos" w:hAnsi="Aptos"/>
        </w:rPr>
        <w:tab/>
      </w:r>
      <w:r w:rsidRPr="00682E50">
        <w:rPr>
          <w:rFonts w:ascii="Aptos" w:hAnsi="Aptos"/>
        </w:rPr>
        <w:tab/>
      </w:r>
      <w:r w:rsidRPr="00682E50">
        <w:rPr>
          <w:rFonts w:ascii="Aptos" w:hAnsi="Aptos" w:eastAsia="Aptos" w:cs="Aptos"/>
        </w:rPr>
        <w:t xml:space="preserve">Zones situées au-delà de la juridiction nationale</w:t>
      </w:r>
    </w:p>
    <w:p w:rsidRPr="00682E50" w:rsidR="00682E50" w:rsidP="00682E50" w:rsidRDefault="00682E50" w14:paraId="342A7209" w14:textId="77777777">
      <w:pPr>
        <w:spacing w:line="240" w:lineRule="auto"/>
        <w:rPr>
          <w:rFonts w:ascii="Aptos" w:hAnsi="Aptos" w:eastAsia="Aptos" w:cs="Aptos"/>
        </w:rPr>
      </w:pPr>
      <w:r w:rsidRPr="00682E50">
        <w:rPr>
          <w:rFonts w:ascii="Aptos" w:hAnsi="Aptos" w:eastAsia="Aptos" w:cs="Aptos"/>
        </w:rPr>
        <w:t xml:space="preserve">AC</w:t>
      </w:r>
      <w:r w:rsidRPr="00682E50">
        <w:rPr>
          <w:rFonts w:ascii="Aptos" w:hAnsi="Aptos"/>
        </w:rPr>
        <w:tab/>
      </w:r>
      <w:r w:rsidRPr="00682E50">
        <w:rPr>
          <w:rFonts w:ascii="Aptos" w:hAnsi="Aptos"/>
        </w:rPr>
        <w:tab/>
      </w:r>
      <w:r w:rsidRPr="00682E50">
        <w:rPr>
          <w:rFonts w:ascii="Aptos" w:hAnsi="Aptos" w:eastAsia="Aptos" w:cs="Aptos"/>
        </w:rPr>
        <w:t xml:space="preserve">Comité pour les animaux de la CITES</w:t>
      </w:r>
    </w:p>
    <w:p w:rsidRPr="00682E50" w:rsidR="00682E50" w:rsidP="00682E50" w:rsidRDefault="00682E50" w14:paraId="5B659397" w14:textId="77777777">
      <w:pPr>
        <w:spacing w:line="240" w:lineRule="auto"/>
        <w:rPr>
          <w:rFonts w:ascii="Aptos" w:hAnsi="Aptos" w:eastAsia="Aptos" w:cs="Aptos"/>
        </w:rPr>
      </w:pPr>
      <w:r w:rsidRPr="00682E50">
        <w:rPr>
          <w:rFonts w:ascii="Aptos" w:hAnsi="Aptos" w:eastAsia="Aptos" w:cs="Aptos"/>
        </w:rPr>
        <w:t xml:space="preserve">AC34</w:t>
      </w:r>
      <w:r w:rsidRPr="00682E50">
        <w:rPr>
          <w:rFonts w:ascii="Aptos" w:hAnsi="Aptos"/>
        </w:rPr>
        <w:tab/>
      </w:r>
      <w:r w:rsidRPr="00682E50">
        <w:rPr>
          <w:rFonts w:ascii="Aptos" w:hAnsi="Aptos"/>
        </w:rPr>
        <w:tab/>
      </w:r>
      <w:r w:rsidRPr="00682E50">
        <w:rPr>
          <w:rFonts w:ascii="Aptos" w:hAnsi="Aptos" w:eastAsia="Aptos" w:cs="Aptos"/>
          <w:vertAlign w:val="superscript"/>
        </w:rPr>
        <w:t xml:space="preserve">34e</w:t>
      </w:r>
      <w:r w:rsidRPr="00682E50">
        <w:rPr>
          <w:rFonts w:ascii="Aptos" w:hAnsi="Aptos" w:eastAsia="Aptos" w:cs="Aptos"/>
        </w:rPr>
        <w:t xml:space="preserve">réunion du Comité pour les animaux de la CITES (juillet 2024)</w:t>
      </w:r>
    </w:p>
    <w:p w:rsidRPr="00682E50" w:rsidR="00682E50" w:rsidP="00682E50" w:rsidRDefault="00682E50" w14:paraId="62DBFD44" w14:textId="77777777">
      <w:pPr>
        <w:spacing w:line="240" w:lineRule="auto"/>
        <w:rPr>
          <w:rFonts w:ascii="Aptos" w:hAnsi="Aptos" w:eastAsia="Aptos" w:cs="Aptos"/>
        </w:rPr>
      </w:pPr>
      <w:r w:rsidRPr="00682E50">
        <w:rPr>
          <w:rFonts w:ascii="Aptos" w:hAnsi="Aptos" w:eastAsia="Aptos" w:cs="Aptos"/>
          <w:lang w:val="en-US"/>
        </w:rPr>
        <w:t xml:space="preserve">BBNJ</w:t>
      </w:r>
      <w:r w:rsidRPr="00682E50">
        <w:rPr>
          <w:rFonts w:ascii="Aptos" w:hAnsi="Aptos"/>
        </w:rPr>
        <w:tab/>
      </w:r>
      <w:r w:rsidRPr="00682E50">
        <w:rPr>
          <w:rFonts w:ascii="Aptos" w:hAnsi="Aptos"/>
        </w:rPr>
        <w:tab/>
      </w:r>
      <w:r w:rsidRPr="00682E50">
        <w:rPr>
          <w:rFonts w:ascii="Aptos" w:hAnsi="Aptos" w:eastAsia="Aptos" w:cs="Aptos"/>
          <w:lang w:val="en-US"/>
        </w:rPr>
        <w:t xml:space="preserve">Biodiversité au-delà des juridictions nationales</w:t>
      </w:r>
    </w:p>
    <w:p w:rsidRPr="00682E50" w:rsidR="00682E50" w:rsidP="00682E50" w:rsidRDefault="00682E50" w14:paraId="2C900BBF" w14:textId="77777777">
      <w:pPr>
        <w:spacing w:line="240" w:lineRule="auto"/>
        <w:rPr>
          <w:rFonts w:ascii="Aptos" w:hAnsi="Aptos" w:eastAsia="Aptos" w:cs="Aptos"/>
        </w:rPr>
      </w:pPr>
      <w:r w:rsidRPr="00682E50">
        <w:rPr>
          <w:rFonts w:ascii="Aptos" w:hAnsi="Aptos" w:eastAsia="Aptos" w:cs="Aptos"/>
        </w:rPr>
        <w:t xml:space="preserve">CBD</w:t>
      </w:r>
      <w:r w:rsidRPr="00682E50">
        <w:rPr>
          <w:rFonts w:ascii="Aptos" w:hAnsi="Aptos"/>
        </w:rPr>
        <w:tab/>
      </w:r>
      <w:r w:rsidRPr="00682E50">
        <w:rPr>
          <w:rFonts w:ascii="Aptos" w:hAnsi="Aptos"/>
        </w:rPr>
        <w:tab/>
      </w:r>
      <w:r w:rsidRPr="00682E50">
        <w:rPr>
          <w:rFonts w:ascii="Aptos" w:hAnsi="Aptos" w:eastAsia="Aptos" w:cs="Aptos"/>
        </w:rPr>
        <w:t xml:space="preserve">Convention sur la diversité biologique</w:t>
      </w:r>
    </w:p>
    <w:p w:rsidRPr="00682E50" w:rsidR="00682E50" w:rsidP="00682E50" w:rsidRDefault="00682E50" w14:paraId="2D1F6366" w14:textId="77777777">
      <w:pPr>
        <w:spacing w:line="240" w:lineRule="auto"/>
        <w:rPr>
          <w:rFonts w:ascii="Aptos" w:hAnsi="Aptos" w:eastAsia="Aptos" w:cs="Aptos"/>
        </w:rPr>
      </w:pPr>
      <w:r w:rsidRPr="00682E50">
        <w:rPr>
          <w:rFonts w:ascii="Aptos" w:hAnsi="Aptos" w:eastAsia="Aptos" w:cs="Aptos"/>
        </w:rPr>
        <w:t xml:space="preserve">CMS</w:t>
      </w:r>
      <w:r w:rsidRPr="00682E50">
        <w:rPr>
          <w:rFonts w:ascii="Aptos" w:hAnsi="Aptos"/>
        </w:rPr>
        <w:tab/>
      </w:r>
      <w:r w:rsidRPr="00682E50">
        <w:rPr>
          <w:rFonts w:ascii="Aptos" w:hAnsi="Aptos"/>
        </w:rPr>
        <w:tab/>
      </w:r>
      <w:r w:rsidRPr="00682E50">
        <w:rPr>
          <w:rFonts w:ascii="Aptos" w:hAnsi="Aptos" w:eastAsia="Aptos" w:cs="Aptos"/>
        </w:rPr>
        <w:t xml:space="preserve">Convention sur la conservation des espèces migratrices d'animaux sauvages</w:t>
      </w:r>
    </w:p>
    <w:p w:rsidRPr="00682E50" w:rsidR="00682E50" w:rsidP="00682E50" w:rsidRDefault="00682E50" w14:paraId="2834FEB2" w14:textId="77777777">
      <w:pPr>
        <w:spacing w:line="240" w:lineRule="auto"/>
        <w:rPr>
          <w:rFonts w:ascii="Aptos" w:hAnsi="Aptos" w:eastAsia="Aptos" w:cs="Aptos"/>
        </w:rPr>
      </w:pPr>
      <w:r w:rsidRPr="00682E50">
        <w:rPr>
          <w:rFonts w:ascii="Aptos" w:hAnsi="Aptos" w:eastAsia="Aptos" w:cs="Aptos"/>
        </w:rPr>
        <w:t xml:space="preserve">CoP</w:t>
      </w:r>
      <w:r w:rsidRPr="00682E50">
        <w:rPr>
          <w:rFonts w:ascii="Aptos" w:hAnsi="Aptos"/>
        </w:rPr>
        <w:tab/>
      </w:r>
      <w:r w:rsidRPr="00682E50">
        <w:rPr>
          <w:rFonts w:ascii="Aptos" w:hAnsi="Aptos"/>
        </w:rPr>
        <w:tab/>
      </w:r>
      <w:r w:rsidRPr="00682E50">
        <w:rPr>
          <w:rFonts w:ascii="Aptos" w:hAnsi="Aptos" w:eastAsia="Aptos" w:cs="Aptos"/>
        </w:rPr>
        <w:t xml:space="preserve">réunion de la Conférence des Parties</w:t>
      </w:r>
    </w:p>
    <w:p w:rsidRPr="00682E50" w:rsidR="00682E50" w:rsidP="00682E50" w:rsidRDefault="00682E50" w14:paraId="141BC6D0" w14:textId="77777777">
      <w:pPr>
        <w:spacing w:line="240" w:lineRule="auto"/>
        <w:rPr>
          <w:rFonts w:ascii="Aptos" w:hAnsi="Aptos" w:eastAsia="Aptos" w:cs="Aptos"/>
        </w:rPr>
      </w:pPr>
      <w:r w:rsidRPr="00682E50">
        <w:rPr>
          <w:rFonts w:ascii="Aptos" w:hAnsi="Aptos" w:eastAsia="Aptos" w:cs="Aptos"/>
        </w:rPr>
        <w:t xml:space="preserve">CBD CoP16</w:t>
      </w:r>
      <w:r w:rsidRPr="00682E50">
        <w:rPr>
          <w:rFonts w:ascii="Aptos" w:hAnsi="Aptos"/>
        </w:rPr>
        <w:tab/>
      </w:r>
      <w:r w:rsidRPr="00682E50">
        <w:rPr>
          <w:rFonts w:ascii="Aptos" w:hAnsi="Aptos" w:eastAsia="Aptos" w:cs="Aptos"/>
          <w:vertAlign w:val="superscript"/>
        </w:rPr>
        <w:t xml:space="preserve">16e</w:t>
      </w:r>
      <w:r w:rsidRPr="00682E50">
        <w:rPr>
          <w:rFonts w:ascii="Aptos" w:hAnsi="Aptos" w:eastAsia="Aptos" w:cs="Aptos"/>
        </w:rPr>
        <w:t xml:space="preserve">réunion de la Conférence des Parties à la CDB (octobre 2024)</w:t>
      </w:r>
    </w:p>
    <w:p w:rsidRPr="00682E50" w:rsidR="00682E50" w:rsidP="00682E50" w:rsidRDefault="00682E50" w14:paraId="08A6CC5E" w14:textId="77777777">
      <w:pPr>
        <w:spacing w:line="240" w:lineRule="auto"/>
        <w:rPr>
          <w:rFonts w:ascii="Aptos" w:hAnsi="Aptos" w:eastAsia="Aptos" w:cs="Aptos"/>
        </w:rPr>
      </w:pPr>
      <w:r w:rsidRPr="00682E50">
        <w:rPr>
          <w:rFonts w:ascii="Aptos" w:hAnsi="Aptos" w:eastAsia="Aptos" w:cs="Aptos"/>
        </w:rPr>
        <w:t xml:space="preserve">CoP19</w:t>
      </w:r>
      <w:r w:rsidRPr="00682E50">
        <w:rPr>
          <w:rFonts w:ascii="Aptos" w:hAnsi="Aptos"/>
        </w:rPr>
        <w:tab/>
      </w:r>
      <w:r w:rsidRPr="00682E50">
        <w:rPr>
          <w:rFonts w:ascii="Aptos" w:hAnsi="Aptos"/>
        </w:rPr>
        <w:tab/>
      </w:r>
      <w:r w:rsidRPr="00682E50">
        <w:rPr>
          <w:rFonts w:ascii="Aptos" w:hAnsi="Aptos" w:eastAsia="Aptos" w:cs="Aptos"/>
          <w:vertAlign w:val="superscript"/>
        </w:rPr>
        <w:t xml:space="preserve">19e</w:t>
      </w:r>
      <w:r w:rsidRPr="00682E50">
        <w:rPr>
          <w:rFonts w:ascii="Aptos" w:hAnsi="Aptos" w:eastAsia="Aptos" w:cs="Aptos"/>
        </w:rPr>
        <w:t xml:space="preserve">réunion de la Conférence des Parties à la CITES (novembre 2022)</w:t>
      </w:r>
    </w:p>
    <w:p w:rsidRPr="00682E50" w:rsidR="00682E50" w:rsidP="00682E50" w:rsidRDefault="00682E50" w14:paraId="01FAEB79" w14:textId="77777777">
      <w:pPr>
        <w:spacing w:line="240" w:lineRule="auto"/>
        <w:rPr>
          <w:rFonts w:ascii="Aptos" w:hAnsi="Aptos" w:eastAsia="Aptos" w:cs="Aptos"/>
        </w:rPr>
      </w:pPr>
      <w:r w:rsidRPr="00682E50">
        <w:rPr>
          <w:rFonts w:ascii="Aptos" w:hAnsi="Aptos" w:eastAsia="Aptos" w:cs="Aptos"/>
        </w:rPr>
        <w:t xml:space="preserve">CoP20</w:t>
      </w:r>
      <w:r w:rsidRPr="00682E50">
        <w:rPr>
          <w:rFonts w:ascii="Aptos" w:hAnsi="Aptos"/>
        </w:rPr>
        <w:tab/>
      </w:r>
      <w:r w:rsidRPr="00682E50">
        <w:rPr>
          <w:rFonts w:ascii="Aptos" w:hAnsi="Aptos"/>
        </w:rPr>
        <w:tab/>
      </w:r>
      <w:r w:rsidRPr="00682E50">
        <w:rPr>
          <w:rFonts w:ascii="Aptos" w:hAnsi="Aptos" w:eastAsia="Aptos" w:cs="Aptos"/>
          <w:vertAlign w:val="superscript"/>
        </w:rPr>
        <w:t xml:space="preserve">20e</w:t>
      </w:r>
      <w:r w:rsidRPr="00682E50">
        <w:rPr>
          <w:rFonts w:ascii="Aptos" w:hAnsi="Aptos" w:eastAsia="Aptos" w:cs="Aptos"/>
        </w:rPr>
        <w:t xml:space="preserve">session de la Conférence des Parties à la CITES (novembre/décembre 2025)</w:t>
      </w:r>
    </w:p>
    <w:p w:rsidRPr="00682E50" w:rsidR="00682E50" w:rsidP="00682E50" w:rsidRDefault="00682E50" w14:paraId="122832B6" w14:textId="77777777">
      <w:pPr>
        <w:spacing w:line="240" w:lineRule="auto"/>
        <w:rPr>
          <w:rFonts w:ascii="Aptos" w:hAnsi="Aptos" w:eastAsia="Aptos" w:cs="Aptos"/>
        </w:rPr>
      </w:pPr>
      <w:r w:rsidRPr="00682E50">
        <w:rPr>
          <w:rFonts w:ascii="Aptos" w:hAnsi="Aptos" w:eastAsia="Aptos" w:cs="Aptos"/>
        </w:rPr>
        <w:t xml:space="preserve">UE</w:t>
      </w:r>
      <w:r w:rsidRPr="00682E50">
        <w:rPr>
          <w:rFonts w:ascii="Aptos" w:hAnsi="Aptos"/>
        </w:rPr>
        <w:tab/>
      </w:r>
      <w:r w:rsidRPr="00682E50">
        <w:rPr>
          <w:rFonts w:ascii="Aptos" w:hAnsi="Aptos"/>
        </w:rPr>
        <w:tab/>
      </w:r>
      <w:r w:rsidRPr="00682E50">
        <w:rPr>
          <w:rFonts w:ascii="Aptos" w:hAnsi="Aptos" w:eastAsia="Aptos" w:cs="Aptos"/>
        </w:rPr>
        <w:t xml:space="preserve">Union européenne</w:t>
      </w:r>
    </w:p>
    <w:p w:rsidRPr="00682E50" w:rsidR="00682E50" w:rsidP="00682E50" w:rsidRDefault="00682E50" w14:paraId="2B2E3AF9" w14:textId="77777777">
      <w:pPr>
        <w:spacing w:line="240" w:lineRule="auto"/>
        <w:rPr>
          <w:rFonts w:ascii="Aptos" w:hAnsi="Aptos" w:eastAsia="Aptos" w:cs="Aptos"/>
        </w:rPr>
      </w:pPr>
      <w:r w:rsidRPr="00682E50">
        <w:rPr>
          <w:rFonts w:ascii="Aptos" w:hAnsi="Aptos" w:eastAsia="Aptos" w:cs="Aptos"/>
        </w:rPr>
        <w:t xml:space="preserve">FAO</w:t>
      </w:r>
      <w:r w:rsidRPr="00682E50">
        <w:rPr>
          <w:rFonts w:ascii="Aptos" w:hAnsi="Aptos"/>
        </w:rPr>
        <w:tab/>
      </w:r>
      <w:r w:rsidRPr="00682E50">
        <w:rPr>
          <w:rFonts w:ascii="Aptos" w:hAnsi="Aptos"/>
        </w:rPr>
        <w:tab/>
      </w:r>
      <w:r w:rsidRPr="00682E50">
        <w:rPr>
          <w:rFonts w:ascii="Aptos" w:hAnsi="Aptos" w:eastAsia="Aptos" w:cs="Aptos"/>
        </w:rPr>
        <w:t xml:space="preserve">Organisation des Nations unies pour l'alimentation et l'agriculture</w:t>
      </w:r>
    </w:p>
    <w:p w:rsidRPr="00682E50" w:rsidR="00682E50" w:rsidP="00682E50" w:rsidRDefault="00682E50" w14:paraId="27993E8C" w14:textId="77777777">
      <w:pPr>
        <w:spacing w:line="240" w:lineRule="auto"/>
        <w:rPr>
          <w:rFonts w:ascii="Aptos" w:hAnsi="Aptos" w:eastAsia="Aptos" w:cs="Aptos"/>
        </w:rPr>
      </w:pPr>
      <w:r w:rsidRPr="00682E50">
        <w:rPr>
          <w:rFonts w:ascii="Aptos" w:hAnsi="Aptos" w:eastAsia="Aptos" w:cs="Aptos"/>
        </w:rPr>
        <w:t xml:space="preserve">GBF</w:t>
      </w:r>
      <w:r w:rsidRPr="00682E50">
        <w:rPr>
          <w:rFonts w:ascii="Aptos" w:hAnsi="Aptos"/>
        </w:rPr>
        <w:tab/>
      </w:r>
      <w:r w:rsidRPr="00682E50">
        <w:rPr>
          <w:rFonts w:ascii="Aptos" w:hAnsi="Aptos"/>
        </w:rPr>
        <w:tab/>
      </w:r>
      <w:r w:rsidRPr="00682E50">
        <w:rPr>
          <w:rFonts w:ascii="Aptos" w:hAnsi="Aptos" w:eastAsia="Aptos" w:cs="Aptos"/>
        </w:rPr>
        <w:t xml:space="preserve">Cadre mondial de Kunming-Montréal pour la biodiversité</w:t>
      </w:r>
    </w:p>
    <w:p w:rsidRPr="00682E50" w:rsidR="00682E50" w:rsidP="00682E50" w:rsidRDefault="00682E50" w14:paraId="3D013D67" w14:textId="77777777">
      <w:pPr>
        <w:spacing w:line="240" w:lineRule="auto"/>
        <w:rPr>
          <w:rFonts w:ascii="Aptos" w:hAnsi="Aptos" w:eastAsia="Aptos" w:cs="Aptos"/>
        </w:rPr>
      </w:pPr>
      <w:r w:rsidRPr="00682E50">
        <w:rPr>
          <w:rFonts w:ascii="Aptos" w:hAnsi="Aptos" w:eastAsia="Aptos" w:cs="Aptos"/>
        </w:rPr>
        <w:t xml:space="preserve">ICCWC</w:t>
      </w:r>
      <w:r w:rsidRPr="00682E50">
        <w:rPr>
          <w:rFonts w:ascii="Aptos" w:hAnsi="Aptos"/>
        </w:rPr>
        <w:tab/>
      </w:r>
      <w:r w:rsidRPr="00682E50">
        <w:rPr>
          <w:rFonts w:ascii="Aptos" w:hAnsi="Aptos"/>
        </w:rPr>
        <w:tab/>
      </w:r>
      <w:r w:rsidRPr="00682E50">
        <w:rPr>
          <w:rFonts w:ascii="Aptos" w:hAnsi="Aptos" w:eastAsia="Aptos" w:cs="Aptos"/>
        </w:rPr>
        <w:t xml:space="preserve">Consortium international de lutte contre la criminalité liée aux espèces sauvages</w:t>
      </w:r>
    </w:p>
    <w:p w:rsidRPr="00682E50" w:rsidR="00682E50" w:rsidP="00682E50" w:rsidRDefault="00682E50" w14:paraId="739D6943" w14:textId="77777777">
      <w:pPr>
        <w:spacing w:line="240" w:lineRule="auto"/>
        <w:rPr>
          <w:rFonts w:ascii="Aptos" w:hAnsi="Aptos" w:eastAsia="Aptos" w:cs="Aptos"/>
        </w:rPr>
      </w:pPr>
      <w:r w:rsidRPr="00682E50">
        <w:rPr>
          <w:rFonts w:ascii="Aptos" w:hAnsi="Aptos" w:eastAsia="Aptos" w:cs="Aptos"/>
        </w:rPr>
        <w:t xml:space="preserve">IFS</w:t>
      </w:r>
      <w:r w:rsidRPr="00682E50">
        <w:rPr>
          <w:rFonts w:ascii="Aptos" w:hAnsi="Aptos"/>
        </w:rPr>
        <w:tab/>
      </w:r>
      <w:r w:rsidRPr="00682E50">
        <w:rPr>
          <w:rFonts w:ascii="Aptos" w:hAnsi="Aptos"/>
        </w:rPr>
        <w:tab/>
      </w:r>
      <w:r w:rsidRPr="00682E50">
        <w:rPr>
          <w:rFonts w:ascii="Aptos" w:hAnsi="Aptos" w:eastAsia="Aptos" w:cs="Aptos"/>
        </w:rPr>
        <w:t xml:space="preserve">Introduction depuis la mer</w:t>
      </w:r>
    </w:p>
    <w:p w:rsidRPr="00682E50" w:rsidR="00682E50" w:rsidP="00682E50" w:rsidRDefault="00682E50" w14:paraId="78DC2F2A" w14:textId="77777777">
      <w:pPr>
        <w:spacing w:line="240" w:lineRule="auto"/>
        <w:rPr>
          <w:rFonts w:ascii="Aptos" w:hAnsi="Aptos" w:eastAsia="Aptos" w:cs="Aptos"/>
        </w:rPr>
      </w:pPr>
      <w:r w:rsidRPr="00682E50">
        <w:rPr>
          <w:rFonts w:ascii="Aptos" w:hAnsi="Aptos" w:eastAsia="Aptos" w:cs="Aptos"/>
        </w:rPr>
        <w:t xml:space="preserve">OIG</w:t>
      </w:r>
      <w:r w:rsidRPr="00682E50">
        <w:rPr>
          <w:rFonts w:ascii="Aptos" w:hAnsi="Aptos"/>
        </w:rPr>
        <w:tab/>
      </w:r>
      <w:r w:rsidRPr="00682E50">
        <w:rPr>
          <w:rFonts w:ascii="Aptos" w:hAnsi="Aptos"/>
        </w:rPr>
        <w:tab/>
      </w:r>
      <w:r w:rsidRPr="00682E50">
        <w:rPr>
          <w:rFonts w:ascii="Aptos" w:hAnsi="Aptos" w:eastAsia="Aptos" w:cs="Aptos"/>
        </w:rPr>
        <w:t xml:space="preserve">Organisation intergouvernementale</w:t>
      </w:r>
    </w:p>
    <w:p w:rsidRPr="00682E50" w:rsidR="00682E50" w:rsidP="00682E50" w:rsidRDefault="00682E50" w14:paraId="320A59D1" w14:textId="77777777">
      <w:pPr>
        <w:spacing w:line="240" w:lineRule="auto"/>
        <w:rPr>
          <w:rFonts w:ascii="Aptos" w:hAnsi="Aptos" w:eastAsia="Aptos" w:cs="Aptos"/>
        </w:rPr>
      </w:pPr>
      <w:r w:rsidRPr="00682E50">
        <w:rPr>
          <w:rFonts w:ascii="Aptos" w:hAnsi="Aptos" w:eastAsia="Aptos" w:cs="Aptos"/>
          <w:lang w:val="en-US"/>
        </w:rPr>
        <w:t xml:space="preserve">IPBES</w:t>
      </w:r>
      <w:r w:rsidRPr="00682E50">
        <w:rPr>
          <w:rFonts w:ascii="Aptos" w:hAnsi="Aptos"/>
        </w:rPr>
        <w:tab/>
      </w:r>
      <w:r w:rsidRPr="00682E50">
        <w:rPr>
          <w:rFonts w:ascii="Aptos" w:hAnsi="Aptos"/>
        </w:rPr>
        <w:tab/>
      </w:r>
      <w:r w:rsidRPr="00682E50">
        <w:rPr>
          <w:rFonts w:ascii="Aptos" w:hAnsi="Aptos" w:eastAsia="Aptos" w:cs="Aptos"/>
          <w:lang w:val="en-US"/>
        </w:rPr>
        <w:t xml:space="preserve">Plateforme intergouvernementale scientifique et politique sur </w:t>
      </w:r>
      <w:r w:rsidRPr="00682E50">
        <w:rPr>
          <w:rFonts w:ascii="Aptos" w:hAnsi="Aptos" w:eastAsia="Aptos" w:cs="Aptos"/>
        </w:rPr>
        <w:t xml:space="preserve">la biodiversité et les services écosystémiques</w:t>
      </w:r>
    </w:p>
    <w:p w:rsidRPr="00682E50" w:rsidR="00682E50" w:rsidP="00682E50" w:rsidRDefault="00682E50" w14:paraId="52246EA2" w14:textId="77777777">
      <w:pPr>
        <w:spacing w:line="240" w:lineRule="auto"/>
        <w:rPr>
          <w:rFonts w:ascii="Aptos" w:hAnsi="Aptos" w:eastAsia="Aptos" w:cs="Aptos"/>
          <w:lang w:val="en-US"/>
        </w:rPr>
      </w:pPr>
      <w:r w:rsidRPr="00682E50">
        <w:rPr>
          <w:rFonts w:ascii="Aptos" w:hAnsi="Aptos" w:eastAsia="Aptos" w:cs="Aptos"/>
          <w:lang w:val="en-US"/>
        </w:rPr>
        <w:t xml:space="preserve">Peuples autochtones </w:t>
      </w:r>
      <w:r w:rsidRPr="00682E50">
        <w:rPr>
          <w:rFonts w:ascii="Aptos" w:hAnsi="Aptos"/>
        </w:rPr>
        <w:tab/>
      </w:r>
      <w:r w:rsidRPr="00682E50">
        <w:rPr>
          <w:rFonts w:ascii="Aptos" w:hAnsi="Aptos"/>
        </w:rPr>
        <w:tab/>
      </w:r>
      <w:r w:rsidRPr="00682E50">
        <w:rPr>
          <w:rFonts w:ascii="Aptos" w:hAnsi="Aptos" w:eastAsia="Aptos" w:cs="Aptos"/>
          <w:lang w:val="en-US"/>
        </w:rPr>
        <w:t xml:space="preserve">Peuples autochtones</w:t>
      </w:r>
    </w:p>
    <w:p w:rsidRPr="00682E50" w:rsidR="00682E50" w:rsidP="00682E50" w:rsidRDefault="00682E50" w14:paraId="5AB5102C" w14:textId="77777777">
      <w:pPr>
        <w:spacing w:line="240" w:lineRule="auto"/>
        <w:rPr>
          <w:rFonts w:ascii="Aptos" w:hAnsi="Aptos" w:eastAsia="Aptos" w:cs="Aptos"/>
          <w:lang w:val="en-US"/>
        </w:rPr>
      </w:pPr>
      <w:r w:rsidRPr="00682E50">
        <w:rPr>
          <w:rFonts w:ascii="Aptos" w:hAnsi="Aptos" w:eastAsia="Aptos" w:cs="Aptos"/>
          <w:lang w:val="en-US"/>
        </w:rPr>
        <w:t xml:space="preserve">LAF</w:t>
      </w:r>
      <w:r w:rsidRPr="00682E50">
        <w:rPr>
          <w:rFonts w:ascii="Aptos" w:hAnsi="Aptos"/>
        </w:rPr>
        <w:tab/>
      </w:r>
      <w:r w:rsidRPr="00682E50">
        <w:rPr>
          <w:rFonts w:ascii="Aptos" w:hAnsi="Aptos"/>
        </w:rPr>
        <w:tab/>
      </w:r>
      <w:r w:rsidRPr="00682E50">
        <w:rPr>
          <w:rFonts w:ascii="Aptos" w:hAnsi="Aptos" w:eastAsia="Aptos" w:cs="Aptos"/>
          <w:lang w:val="en-US"/>
        </w:rPr>
        <w:t xml:space="preserve">Conclusions relatives à l'acquisition légale</w:t>
      </w:r>
    </w:p>
    <w:p w:rsidRPr="00682E50" w:rsidR="00682E50" w:rsidP="00682E50" w:rsidRDefault="00682E50" w14:paraId="6F3A4139" w14:textId="77777777">
      <w:pPr>
        <w:spacing w:line="240" w:lineRule="auto"/>
        <w:rPr>
          <w:rFonts w:ascii="Aptos" w:hAnsi="Aptos" w:eastAsia="Aptos" w:cs="Aptos"/>
          <w:lang w:val="en-US"/>
        </w:rPr>
      </w:pPr>
      <w:r w:rsidRPr="00682E50">
        <w:rPr>
          <w:rFonts w:ascii="Aptos" w:hAnsi="Aptos" w:eastAsia="Aptos" w:cs="Aptos"/>
          <w:lang w:val="en-US"/>
        </w:rPr>
        <w:t xml:space="preserve">LC</w:t>
      </w:r>
      <w:r w:rsidRPr="00682E50">
        <w:rPr>
          <w:rFonts w:ascii="Aptos" w:hAnsi="Aptos"/>
        </w:rPr>
        <w:tab/>
      </w:r>
      <w:r w:rsidRPr="00682E50">
        <w:rPr>
          <w:rFonts w:ascii="Aptos" w:hAnsi="Aptos" w:eastAsia="Aptos" w:cs="Aptos"/>
          <w:lang w:val="en-US"/>
        </w:rPr>
        <w:t xml:space="preserve"> </w:t>
      </w:r>
      <w:r w:rsidRPr="00682E50">
        <w:rPr>
          <w:rFonts w:ascii="Aptos" w:hAnsi="Aptos"/>
        </w:rPr>
        <w:tab/>
      </w:r>
      <w:r w:rsidRPr="00682E50">
        <w:rPr>
          <w:rFonts w:ascii="Aptos" w:hAnsi="Aptos" w:eastAsia="Aptos" w:cs="Aptos"/>
          <w:lang w:val="en-US"/>
        </w:rPr>
        <w:t xml:space="preserve">Communautés locales</w:t>
      </w:r>
    </w:p>
    <w:p w:rsidRPr="00682E50" w:rsidR="00682E50" w:rsidP="00682E50" w:rsidRDefault="00682E50" w14:paraId="28E50E5C" w14:textId="77777777">
      <w:pPr>
        <w:spacing w:line="240" w:lineRule="auto"/>
        <w:rPr>
          <w:rFonts w:ascii="Aptos" w:hAnsi="Aptos" w:eastAsia="Aptos" w:cs="Aptos"/>
        </w:rPr>
      </w:pPr>
      <w:r w:rsidRPr="00682E50">
        <w:rPr>
          <w:rFonts w:ascii="Aptos" w:hAnsi="Aptos" w:eastAsia="Aptos" w:cs="Aptos"/>
        </w:rPr>
        <w:t xml:space="preserve">UICN</w:t>
      </w:r>
      <w:r w:rsidRPr="00682E50">
        <w:rPr>
          <w:rFonts w:ascii="Aptos" w:hAnsi="Aptos"/>
        </w:rPr>
        <w:tab/>
      </w:r>
      <w:r w:rsidRPr="00682E50">
        <w:rPr>
          <w:rFonts w:ascii="Aptos" w:hAnsi="Aptos"/>
        </w:rPr>
        <w:tab/>
      </w:r>
      <w:r w:rsidRPr="00682E50">
        <w:rPr>
          <w:rFonts w:ascii="Aptos" w:hAnsi="Aptos" w:eastAsia="Aptos" w:cs="Aptos"/>
        </w:rPr>
        <w:t xml:space="preserve">Union internationale pour la conservation de la nature</w:t>
      </w:r>
    </w:p>
    <w:p w:rsidRPr="00682E50" w:rsidR="00682E50" w:rsidP="00682E50" w:rsidRDefault="00682E50" w14:paraId="7664B36A" w14:textId="77777777">
      <w:pPr>
        <w:spacing w:line="240" w:lineRule="auto"/>
        <w:rPr>
          <w:rFonts w:ascii="Aptos" w:hAnsi="Aptos" w:eastAsia="Aptos" w:cs="Aptos"/>
        </w:rPr>
      </w:pPr>
      <w:r w:rsidRPr="00682E50">
        <w:rPr>
          <w:rFonts w:ascii="Aptos" w:hAnsi="Aptos" w:eastAsia="Aptos" w:cs="Aptos"/>
        </w:rPr>
        <w:t xml:space="preserve">MA</w:t>
      </w:r>
      <w:r w:rsidRPr="00682E50">
        <w:rPr>
          <w:rFonts w:ascii="Aptos" w:hAnsi="Aptos"/>
        </w:rPr>
        <w:tab/>
      </w:r>
      <w:r w:rsidRPr="00682E50">
        <w:rPr>
          <w:rFonts w:ascii="Aptos" w:hAnsi="Aptos"/>
        </w:rPr>
        <w:tab/>
      </w:r>
      <w:r w:rsidRPr="00682E50">
        <w:rPr>
          <w:rFonts w:ascii="Aptos" w:hAnsi="Aptos" w:eastAsia="Aptos" w:cs="Aptos"/>
        </w:rPr>
        <w:t xml:space="preserve">Autorité de gestion de la CITES</w:t>
      </w:r>
    </w:p>
    <w:p w:rsidRPr="00682E50" w:rsidR="00682E50" w:rsidP="00682E50" w:rsidRDefault="00682E50" w14:paraId="1043DB1A" w14:textId="77777777">
      <w:pPr>
        <w:spacing w:line="240" w:lineRule="auto"/>
        <w:rPr>
          <w:rFonts w:ascii="Aptos" w:hAnsi="Aptos" w:eastAsia="Aptos" w:cs="Aptos"/>
        </w:rPr>
      </w:pPr>
      <w:r w:rsidRPr="00682E50">
        <w:rPr>
          <w:rFonts w:ascii="Aptos" w:hAnsi="Aptos" w:eastAsia="Aptos" w:cs="Aptos"/>
        </w:rPr>
        <w:t xml:space="preserve">MEA</w:t>
      </w:r>
      <w:r w:rsidRPr="00682E50">
        <w:rPr>
          <w:rFonts w:ascii="Aptos" w:hAnsi="Aptos"/>
        </w:rPr>
        <w:tab/>
      </w:r>
      <w:r w:rsidRPr="00682E50">
        <w:rPr>
          <w:rFonts w:ascii="Aptos" w:hAnsi="Aptos"/>
        </w:rPr>
        <w:tab/>
      </w:r>
      <w:r w:rsidRPr="00682E50">
        <w:rPr>
          <w:rFonts w:ascii="Aptos" w:hAnsi="Aptos" w:eastAsia="Aptos" w:cs="Aptos"/>
        </w:rPr>
        <w:t xml:space="preserve">Accord multilatéral sur l'environnement</w:t>
      </w:r>
    </w:p>
    <w:p w:rsidRPr="00682E50" w:rsidR="00682E50" w:rsidP="00682E50" w:rsidRDefault="00682E50" w14:paraId="16393603" w14:textId="77777777">
      <w:pPr>
        <w:spacing w:line="240" w:lineRule="auto"/>
        <w:rPr>
          <w:rFonts w:ascii="Aptos" w:hAnsi="Aptos" w:eastAsia="Aptos" w:cs="Aptos"/>
        </w:rPr>
      </w:pPr>
      <w:r w:rsidRPr="00682E50">
        <w:rPr>
          <w:rFonts w:ascii="Aptos" w:hAnsi="Aptos" w:eastAsia="Aptos" w:cs="Aptos"/>
        </w:rPr>
        <w:t xml:space="preserve">MoU</w:t>
      </w:r>
      <w:r w:rsidRPr="00682E50">
        <w:rPr>
          <w:rFonts w:ascii="Aptos" w:hAnsi="Aptos"/>
        </w:rPr>
        <w:tab/>
      </w:r>
      <w:r w:rsidRPr="00682E50">
        <w:rPr>
          <w:rFonts w:ascii="Aptos" w:hAnsi="Aptos"/>
        </w:rPr>
        <w:tab/>
      </w:r>
      <w:r w:rsidRPr="00682E50">
        <w:rPr>
          <w:rFonts w:ascii="Aptos" w:hAnsi="Aptos" w:eastAsia="Aptos" w:cs="Aptos"/>
        </w:rPr>
        <w:t xml:space="preserve">Protocole d'accord</w:t>
      </w:r>
    </w:p>
    <w:p w:rsidRPr="00682E50" w:rsidR="00682E50" w:rsidP="00682E50" w:rsidRDefault="00682E50" w14:paraId="2BD9C218" w14:textId="77777777">
      <w:pPr>
        <w:spacing w:line="240" w:lineRule="auto"/>
        <w:rPr>
          <w:rFonts w:ascii="Aptos" w:hAnsi="Aptos" w:eastAsia="Aptos" w:cs="Aptos"/>
        </w:rPr>
      </w:pPr>
      <w:r w:rsidRPr="00682E50">
        <w:rPr>
          <w:rFonts w:ascii="Aptos" w:hAnsi="Aptos" w:eastAsia="Aptos" w:cs="Aptos"/>
        </w:rPr>
        <w:t xml:space="preserve">NDF</w:t>
      </w:r>
      <w:r w:rsidRPr="00682E50">
        <w:rPr>
          <w:rFonts w:ascii="Aptos" w:hAnsi="Aptos"/>
        </w:rPr>
        <w:tab/>
      </w:r>
      <w:r w:rsidRPr="00682E50">
        <w:rPr>
          <w:rFonts w:ascii="Aptos" w:hAnsi="Aptos"/>
        </w:rPr>
        <w:tab/>
      </w:r>
      <w:r w:rsidRPr="00682E50">
        <w:rPr>
          <w:rFonts w:ascii="Aptos" w:hAnsi="Aptos" w:eastAsia="Aptos" w:cs="Aptos"/>
        </w:rPr>
        <w:t xml:space="preserve">Constatation de non-préjudice au titre de la CITES</w:t>
      </w:r>
    </w:p>
    <w:p w:rsidRPr="00682E50" w:rsidR="00682E50" w:rsidP="00682E50" w:rsidRDefault="00682E50" w14:paraId="5BF7E49D" w14:textId="77777777">
      <w:pPr>
        <w:spacing w:line="240" w:lineRule="auto"/>
        <w:rPr>
          <w:rFonts w:ascii="Aptos" w:hAnsi="Aptos" w:eastAsia="Aptos" w:cs="Aptos"/>
        </w:rPr>
      </w:pPr>
      <w:r w:rsidRPr="00682E50">
        <w:rPr>
          <w:rFonts w:ascii="Aptos" w:hAnsi="Aptos" w:eastAsia="Aptos" w:cs="Aptos"/>
        </w:rPr>
        <w:t xml:space="preserve">NIAP</w:t>
      </w:r>
      <w:r w:rsidRPr="00682E50">
        <w:rPr>
          <w:rFonts w:ascii="Aptos" w:hAnsi="Aptos"/>
        </w:rPr>
        <w:tab/>
      </w:r>
      <w:r w:rsidRPr="00682E50">
        <w:rPr>
          <w:rFonts w:ascii="Aptos" w:hAnsi="Aptos"/>
        </w:rPr>
        <w:tab/>
      </w:r>
      <w:r w:rsidRPr="00682E50">
        <w:rPr>
          <w:rFonts w:ascii="Aptos" w:hAnsi="Aptos" w:eastAsia="Aptos" w:cs="Aptos"/>
        </w:rPr>
        <w:t xml:space="preserve">Plan d'action national sur l'ivoire</w:t>
      </w:r>
    </w:p>
    <w:p w:rsidRPr="00682E50" w:rsidR="00682E50" w:rsidP="00682E50" w:rsidRDefault="00682E50" w14:paraId="500A4954" w14:textId="77777777">
      <w:pPr>
        <w:spacing w:line="240" w:lineRule="auto"/>
        <w:rPr>
          <w:rFonts w:ascii="Aptos" w:hAnsi="Aptos" w:eastAsia="Aptos" w:cs="Aptos"/>
        </w:rPr>
      </w:pPr>
      <w:r w:rsidRPr="00682E50">
        <w:rPr>
          <w:rFonts w:ascii="Aptos" w:hAnsi="Aptos" w:eastAsia="Aptos" w:cs="Aptos"/>
        </w:rPr>
        <w:t xml:space="preserve">NIRAP</w:t>
      </w:r>
      <w:r w:rsidRPr="00682E50">
        <w:rPr>
          <w:rFonts w:ascii="Aptos" w:hAnsi="Aptos"/>
        </w:rPr>
        <w:tab/>
      </w:r>
      <w:r w:rsidRPr="00682E50">
        <w:rPr>
          <w:rFonts w:ascii="Aptos" w:hAnsi="Aptos"/>
        </w:rPr>
        <w:tab/>
      </w:r>
      <w:r w:rsidRPr="00682E50">
        <w:rPr>
          <w:rFonts w:ascii="Aptos" w:hAnsi="Aptos" w:eastAsia="Aptos" w:cs="Aptos"/>
        </w:rPr>
        <w:t xml:space="preserve">Plan d'action national pour l'ivoire et les rhinocéros</w:t>
      </w:r>
    </w:p>
    <w:p w:rsidRPr="00682E50" w:rsidR="00682E50" w:rsidP="00682E50" w:rsidRDefault="00682E50" w14:paraId="35AC03BE" w14:textId="77777777">
      <w:pPr>
        <w:spacing w:line="240" w:lineRule="auto"/>
        <w:rPr>
          <w:rFonts w:ascii="Aptos" w:hAnsi="Aptos" w:eastAsia="Aptos" w:cs="Aptos"/>
          <w:lang w:val="en-US"/>
        </w:rPr>
      </w:pPr>
      <w:r w:rsidRPr="00682E50">
        <w:rPr>
          <w:rFonts w:ascii="Aptos" w:hAnsi="Aptos" w:eastAsia="Aptos" w:cs="Aptos"/>
          <w:lang w:val="en-US"/>
        </w:rPr>
        <w:t xml:space="preserve">ONG</w:t>
      </w:r>
      <w:r w:rsidRPr="00682E50">
        <w:rPr>
          <w:rFonts w:ascii="Aptos" w:hAnsi="Aptos"/>
        </w:rPr>
        <w:tab/>
      </w:r>
      <w:r w:rsidRPr="00682E50">
        <w:rPr>
          <w:rFonts w:ascii="Aptos" w:hAnsi="Aptos"/>
        </w:rPr>
        <w:tab/>
      </w:r>
      <w:r w:rsidRPr="00682E50">
        <w:rPr>
          <w:rFonts w:ascii="Aptos" w:hAnsi="Aptos" w:eastAsia="Aptos" w:cs="Aptos"/>
          <w:lang w:val="en-US"/>
        </w:rPr>
        <w:t xml:space="preserve">Organisation non gouvernementale</w:t>
      </w:r>
    </w:p>
    <w:p w:rsidRPr="00682E50" w:rsidR="00682E50" w:rsidP="00682E50" w:rsidRDefault="00682E50" w14:paraId="23185CE7" w14:textId="77777777">
      <w:pPr>
        <w:spacing w:line="240" w:lineRule="auto"/>
        <w:rPr>
          <w:rFonts w:ascii="Aptos" w:hAnsi="Aptos" w:eastAsia="Aptos" w:cs="Aptos"/>
          <w:lang w:val="en-US"/>
        </w:rPr>
      </w:pPr>
      <w:r w:rsidRPr="00682E50">
        <w:rPr>
          <w:rFonts w:ascii="Aptos" w:hAnsi="Aptos" w:eastAsia="Aptos" w:cs="Aptos"/>
          <w:lang w:val="en-US"/>
        </w:rPr>
        <w:t xml:space="preserve">PC</w:t>
      </w:r>
      <w:r w:rsidRPr="00682E50">
        <w:rPr>
          <w:rFonts w:ascii="Aptos" w:hAnsi="Aptos"/>
        </w:rPr>
        <w:tab/>
      </w:r>
      <w:r w:rsidRPr="00682E50">
        <w:rPr>
          <w:rFonts w:ascii="Aptos" w:hAnsi="Aptos"/>
        </w:rPr>
        <w:tab/>
      </w:r>
      <w:r w:rsidRPr="00682E50">
        <w:rPr>
          <w:rFonts w:ascii="Aptos" w:hAnsi="Aptos" w:eastAsia="Aptos" w:cs="Aptos"/>
          <w:lang w:val="en-US"/>
        </w:rPr>
        <w:t xml:space="preserve">CITES Comité des plantes</w:t>
      </w:r>
    </w:p>
    <w:p w:rsidRPr="00682E50" w:rsidR="00682E50" w:rsidP="00682E50" w:rsidRDefault="00682E50" w14:paraId="78B0CB54" w14:textId="77777777">
      <w:pPr>
        <w:spacing w:line="240" w:lineRule="auto"/>
        <w:rPr>
          <w:rFonts w:ascii="Aptos" w:hAnsi="Aptos" w:eastAsia="Aptos" w:cs="Aptos"/>
          <w:lang w:val="en-GB"/>
        </w:rPr>
      </w:pPr>
      <w:r w:rsidRPr="00682E50">
        <w:rPr>
          <w:rFonts w:ascii="Aptos" w:hAnsi="Aptos" w:eastAsia="Aptos" w:cs="Aptos"/>
          <w:lang w:val="en-GB"/>
        </w:rPr>
        <w:t xml:space="preserve">RST</w:t>
      </w:r>
      <w:r w:rsidRPr="00682E50">
        <w:rPr>
          <w:rFonts w:ascii="Aptos" w:hAnsi="Aptos"/>
        </w:rPr>
        <w:tab/>
      </w:r>
      <w:r w:rsidRPr="00682E50">
        <w:rPr>
          <w:rFonts w:ascii="Aptos" w:hAnsi="Aptos"/>
        </w:rPr>
        <w:tab/>
      </w:r>
      <w:r w:rsidRPr="00682E50">
        <w:rPr>
          <w:rFonts w:ascii="Aptos" w:hAnsi="Aptos" w:eastAsia="Aptos" w:cs="Aptos"/>
          <w:lang w:val="en-GB"/>
        </w:rPr>
        <w:t xml:space="preserve">Examen des échanges commerciaux significatifs dans le cadre de la CITES</w:t>
      </w:r>
    </w:p>
    <w:p w:rsidRPr="00682E50" w:rsidR="00682E50" w:rsidP="00682E50" w:rsidRDefault="00682E50" w14:paraId="3175454F" w14:textId="77777777">
      <w:pPr>
        <w:spacing w:line="240" w:lineRule="auto"/>
        <w:rPr>
          <w:rFonts w:ascii="Aptos" w:hAnsi="Aptos" w:eastAsia="Aptos" w:cs="Aptos"/>
        </w:rPr>
      </w:pPr>
      <w:r w:rsidRPr="00682E50">
        <w:rPr>
          <w:rFonts w:ascii="Aptos" w:hAnsi="Aptos" w:eastAsia="Aptos" w:cs="Aptos"/>
        </w:rPr>
        <w:t xml:space="preserve">SC</w:t>
      </w:r>
      <w:r w:rsidRPr="00682E50">
        <w:rPr>
          <w:rFonts w:ascii="Aptos" w:hAnsi="Aptos"/>
        </w:rPr>
        <w:tab/>
      </w:r>
      <w:r w:rsidRPr="00682E50">
        <w:rPr>
          <w:rFonts w:ascii="Aptos" w:hAnsi="Aptos"/>
        </w:rPr>
        <w:tab/>
      </w:r>
      <w:r w:rsidRPr="00682E50">
        <w:rPr>
          <w:rFonts w:ascii="Aptos" w:hAnsi="Aptos" w:eastAsia="Aptos" w:cs="Aptos"/>
        </w:rPr>
        <w:t xml:space="preserve">Comité permanent de la CITES</w:t>
      </w:r>
    </w:p>
    <w:p w:rsidRPr="00682E50" w:rsidR="00682E50" w:rsidP="00682E50" w:rsidRDefault="00682E50" w14:paraId="7AF0C1D6" w14:textId="77777777">
      <w:pPr>
        <w:spacing w:line="240" w:lineRule="auto"/>
        <w:rPr>
          <w:rFonts w:ascii="Aptos" w:hAnsi="Aptos" w:eastAsia="Aptos" w:cs="Aptos"/>
        </w:rPr>
      </w:pPr>
      <w:r w:rsidRPr="00682E50">
        <w:rPr>
          <w:rFonts w:ascii="Aptos" w:hAnsi="Aptos" w:eastAsia="Aptos" w:cs="Aptos"/>
        </w:rPr>
        <w:t xml:space="preserve">SC77</w:t>
      </w:r>
      <w:r w:rsidRPr="00682E50">
        <w:rPr>
          <w:rFonts w:ascii="Aptos" w:hAnsi="Aptos"/>
        </w:rPr>
        <w:tab/>
      </w:r>
      <w:r w:rsidRPr="00682E50">
        <w:rPr>
          <w:rFonts w:ascii="Aptos" w:hAnsi="Aptos"/>
        </w:rPr>
        <w:tab/>
      </w:r>
      <w:r w:rsidRPr="00682E50">
        <w:rPr>
          <w:rFonts w:ascii="Aptos" w:hAnsi="Aptos" w:eastAsia="Aptos" w:cs="Aptos"/>
          <w:vertAlign w:val="superscript"/>
        </w:rPr>
        <w:t xml:space="preserve">77e</w:t>
      </w:r>
      <w:r w:rsidRPr="00682E50">
        <w:rPr>
          <w:rFonts w:ascii="Aptos" w:hAnsi="Aptos" w:eastAsia="Aptos" w:cs="Aptos"/>
        </w:rPr>
        <w:t xml:space="preserve">réunion du Comité permanent de la CITES (novembre 2023)</w:t>
      </w:r>
    </w:p>
    <w:p w:rsidRPr="00682E50" w:rsidR="00682E50" w:rsidP="00682E50" w:rsidRDefault="00682E50" w14:paraId="01491C4B" w14:textId="77777777">
      <w:pPr>
        <w:spacing w:line="240" w:lineRule="auto"/>
        <w:rPr>
          <w:rFonts w:ascii="Aptos" w:hAnsi="Aptos"/>
        </w:rPr>
      </w:pPr>
      <w:r w:rsidRPr="00682E50">
        <w:rPr>
          <w:rFonts w:ascii="Aptos" w:hAnsi="Aptos" w:eastAsia="Aptos" w:cs="Aptos"/>
          <w:lang w:val="en-US"/>
        </w:rPr>
        <w:t xml:space="preserve">SC78</w:t>
      </w:r>
      <w:r w:rsidRPr="00682E50">
        <w:rPr>
          <w:rFonts w:ascii="Aptos" w:hAnsi="Aptos"/>
        </w:rPr>
        <w:tab/>
      </w:r>
      <w:r w:rsidRPr="00682E50">
        <w:rPr>
          <w:rFonts w:ascii="Aptos" w:hAnsi="Aptos"/>
        </w:rPr>
        <w:tab/>
      </w:r>
      <w:r w:rsidRPr="00682E50">
        <w:rPr>
          <w:rFonts w:ascii="Aptos" w:hAnsi="Aptos" w:eastAsia="Aptos" w:cs="Aptos"/>
          <w:vertAlign w:val="superscript"/>
          <w:lang w:val="en-US"/>
        </w:rPr>
        <w:t xml:space="preserve">78e</w:t>
      </w:r>
      <w:r w:rsidRPr="00682E50">
        <w:rPr>
          <w:rFonts w:ascii="Aptos" w:hAnsi="Aptos" w:eastAsia="Aptos" w:cs="Aptos"/>
          <w:lang w:val="en-US"/>
        </w:rPr>
        <w:t xml:space="preserve">réunion du Comité permanent de la CITES (</w:t>
      </w:r>
      <w:r w:rsidRPr="00682E50">
        <w:rPr>
          <w:rFonts w:ascii="Aptos" w:hAnsi="Aptos" w:eastAsia="Aptos" w:cs="Aptos"/>
        </w:rPr>
        <w:t xml:space="preserve">février</w:t>
      </w:r>
      <w:r w:rsidRPr="00682E50">
        <w:rPr>
          <w:rFonts w:ascii="Aptos" w:hAnsi="Aptos" w:eastAsia="Aptos" w:cs="Aptos"/>
        </w:rPr>
        <w:t xml:space="preserve"> 2025)</w:t>
      </w:r>
    </w:p>
    <w:p w:rsidRPr="00682E50" w:rsidR="00682E50" w:rsidP="00682E50" w:rsidRDefault="00682E50" w14:paraId="6CCF0BC9" w14:textId="77777777">
      <w:pPr>
        <w:spacing w:line="240" w:lineRule="auto"/>
        <w:rPr>
          <w:rFonts w:ascii="Aptos" w:hAnsi="Aptos"/>
        </w:rPr>
      </w:pPr>
      <w:r w:rsidRPr="00682E50">
        <w:rPr>
          <w:rFonts w:ascii="Aptos" w:hAnsi="Aptos" w:eastAsia="Aptos" w:cs="Aptos"/>
        </w:rPr>
        <w:t xml:space="preserve">SC81</w:t>
      </w:r>
      <w:r w:rsidRPr="00682E50">
        <w:rPr>
          <w:rFonts w:ascii="Aptos" w:hAnsi="Aptos"/>
        </w:rPr>
        <w:tab/>
      </w:r>
      <w:r w:rsidRPr="00682E50">
        <w:rPr>
          <w:rFonts w:ascii="Aptos" w:hAnsi="Aptos"/>
        </w:rPr>
        <w:tab/>
      </w:r>
      <w:r w:rsidRPr="00682E50">
        <w:rPr>
          <w:rFonts w:ascii="Aptos" w:hAnsi="Aptos" w:eastAsia="Aptos" w:cs="Aptos"/>
          <w:vertAlign w:val="superscript"/>
        </w:rPr>
        <w:t xml:space="preserve">81e</w:t>
      </w:r>
      <w:r w:rsidRPr="00682E50">
        <w:rPr>
          <w:rFonts w:ascii="Aptos" w:hAnsi="Aptos" w:eastAsia="Aptos" w:cs="Aptos"/>
        </w:rPr>
        <w:t xml:space="preserve">réunion du Comité permanent de la CITES (novembre 2026)</w:t>
      </w:r>
    </w:p>
    <w:p w:rsidRPr="00682E50" w:rsidR="00682E50" w:rsidP="00682E50" w:rsidRDefault="00682E50" w14:paraId="5E04141B" w14:textId="77777777">
      <w:pPr>
        <w:spacing w:line="240" w:lineRule="auto"/>
        <w:rPr>
          <w:rFonts w:ascii="Aptos" w:hAnsi="Aptos" w:eastAsia="Aptos" w:cs="Aptos"/>
        </w:rPr>
      </w:pPr>
      <w:r w:rsidRPr="00682E50">
        <w:rPr>
          <w:rFonts w:ascii="Aptos" w:hAnsi="Aptos" w:eastAsia="Aptos" w:cs="Aptos"/>
        </w:rPr>
        <w:t xml:space="preserve">ONU</w:t>
      </w:r>
      <w:r w:rsidRPr="00682E50">
        <w:rPr>
          <w:rFonts w:ascii="Aptos" w:hAnsi="Aptos"/>
        </w:rPr>
        <w:tab/>
      </w:r>
      <w:r w:rsidRPr="00682E50">
        <w:rPr>
          <w:rFonts w:ascii="Aptos" w:hAnsi="Aptos"/>
        </w:rPr>
        <w:tab/>
      </w:r>
      <w:r w:rsidRPr="00682E50">
        <w:rPr>
          <w:rFonts w:ascii="Aptos" w:hAnsi="Aptos" w:eastAsia="Aptos" w:cs="Aptos"/>
        </w:rPr>
        <w:t xml:space="preserve">Nations Unies</w:t>
      </w:r>
    </w:p>
    <w:p w:rsidRPr="00682E50" w:rsidR="00682E50" w:rsidP="00682E50" w:rsidRDefault="00682E50" w14:paraId="5D843F60" w14:textId="77777777">
      <w:pPr>
        <w:spacing w:line="240" w:lineRule="auto"/>
        <w:rPr>
          <w:rFonts w:ascii="Aptos" w:hAnsi="Aptos" w:eastAsia="Aptos" w:cs="Aptos"/>
          <w:lang w:val="en-SG"/>
        </w:rPr>
      </w:pPr>
      <w:r w:rsidRPr="00682E50">
        <w:rPr>
          <w:rFonts w:ascii="Aptos" w:hAnsi="Aptos" w:eastAsia="Aptos" w:cs="Aptos"/>
          <w:lang w:val="en-US"/>
        </w:rPr>
        <w:t xml:space="preserve">UNCAC</w:t>
      </w:r>
      <w:r w:rsidRPr="00682E50">
        <w:rPr>
          <w:rFonts w:ascii="Aptos" w:hAnsi="Aptos"/>
        </w:rPr>
        <w:tab/>
      </w:r>
      <w:r w:rsidRPr="00682E50">
        <w:rPr>
          <w:rFonts w:ascii="Aptos" w:hAnsi="Aptos" w:eastAsia="Aptos" w:cs="Aptos"/>
          <w:lang w:val="en-SG"/>
        </w:rPr>
        <w:t xml:space="preserve">Convention des Nations Unies contre la corruption</w:t>
      </w:r>
    </w:p>
    <w:p w:rsidRPr="00682E50" w:rsidR="00682E50" w:rsidP="00682E50" w:rsidRDefault="00682E50" w14:paraId="35803179" w14:textId="77777777">
      <w:pPr>
        <w:spacing w:line="240" w:lineRule="auto"/>
        <w:rPr>
          <w:rFonts w:ascii="Aptos" w:hAnsi="Aptos" w:eastAsia="Aptos" w:cs="Aptos"/>
        </w:rPr>
      </w:pPr>
      <w:r w:rsidRPr="00682E50">
        <w:rPr>
          <w:rFonts w:ascii="Aptos" w:hAnsi="Aptos" w:eastAsia="Aptos" w:cs="Aptos"/>
          <w:lang w:val="en-US"/>
        </w:rPr>
        <w:t xml:space="preserve">CNUDM</w:t>
      </w:r>
      <w:r w:rsidRPr="00682E50">
        <w:rPr>
          <w:rFonts w:ascii="Aptos" w:hAnsi="Aptos"/>
        </w:rPr>
        <w:tab/>
      </w:r>
      <w:r w:rsidRPr="00682E50">
        <w:rPr>
          <w:rFonts w:ascii="Aptos" w:hAnsi="Aptos" w:eastAsia="Aptos" w:cs="Aptos"/>
          <w:lang w:val="en-US"/>
        </w:rPr>
        <w:t xml:space="preserve">Convention des Nations Unies sur le droit de la mer</w:t>
      </w:r>
    </w:p>
    <w:p w:rsidRPr="00682E50" w:rsidR="00682E50" w:rsidP="00682E50" w:rsidRDefault="00682E50" w14:paraId="11F6C281" w14:textId="77777777">
      <w:pPr>
        <w:spacing w:line="240" w:lineRule="auto"/>
        <w:rPr>
          <w:rFonts w:ascii="Aptos" w:hAnsi="Aptos" w:eastAsia="Aptos" w:cs="Aptos"/>
          <w:lang w:val="en-US"/>
        </w:rPr>
      </w:pPr>
      <w:r w:rsidRPr="00682E50">
        <w:rPr>
          <w:rFonts w:ascii="Aptos" w:hAnsi="Aptos" w:eastAsia="Aptos" w:cs="Aptos"/>
          <w:lang w:val="en-US"/>
        </w:rPr>
        <w:lastRenderedPageBreak/>
      </w:r>
      <w:r w:rsidRPr="00682E50">
        <w:rPr>
          <w:rFonts w:ascii="Aptos" w:hAnsi="Aptos" w:eastAsia="Aptos" w:cs="Aptos"/>
          <w:lang w:val="en-US"/>
        </w:rPr>
        <w:t xml:space="preserve">UNDRIP</w:t>
      </w:r>
      <w:r w:rsidRPr="00682E50">
        <w:rPr>
          <w:rFonts w:ascii="Aptos" w:hAnsi="Aptos"/>
        </w:rPr>
        <w:tab/>
      </w:r>
      <w:r w:rsidRPr="00682E50">
        <w:rPr>
          <w:rFonts w:ascii="Aptos" w:hAnsi="Aptos" w:eastAsia="Aptos" w:cs="Aptos"/>
          <w:lang w:val="en-US"/>
        </w:rPr>
        <w:t xml:space="preserve">Déclaration des Nations Unies sur les droits des peuples autochtones</w:t>
      </w:r>
    </w:p>
    <w:p w:rsidRPr="00682E50" w:rsidR="00682E50" w:rsidP="00682E50" w:rsidRDefault="00682E50" w14:paraId="429096A5" w14:textId="77777777">
      <w:pPr>
        <w:spacing w:line="240" w:lineRule="auto"/>
        <w:rPr>
          <w:rFonts w:ascii="Aptos" w:hAnsi="Aptos" w:eastAsia="Aptos" w:cs="Aptos"/>
          <w:lang w:val="en-US"/>
        </w:rPr>
      </w:pPr>
      <w:r w:rsidRPr="00682E50">
        <w:rPr>
          <w:rFonts w:ascii="Aptos" w:hAnsi="Aptos" w:eastAsia="Aptos" w:cs="Aptos"/>
          <w:lang w:val="en-US"/>
        </w:rPr>
        <w:t xml:space="preserve">PNUE</w:t>
      </w:r>
      <w:r w:rsidRPr="00682E50">
        <w:rPr>
          <w:rFonts w:ascii="Aptos" w:hAnsi="Aptos"/>
        </w:rPr>
        <w:tab/>
      </w:r>
      <w:r w:rsidRPr="00682E50">
        <w:rPr>
          <w:rFonts w:ascii="Aptos" w:hAnsi="Aptos"/>
        </w:rPr>
        <w:tab/>
      </w:r>
      <w:r w:rsidRPr="00682E50">
        <w:rPr>
          <w:rFonts w:ascii="Aptos" w:hAnsi="Aptos" w:eastAsia="Aptos" w:cs="Aptos"/>
          <w:lang w:val="en-US"/>
        </w:rPr>
        <w:t xml:space="preserve">Programme</w:t>
      </w:r>
      <w:r w:rsidRPr="00682E50">
        <w:rPr>
          <w:rFonts w:ascii="Aptos" w:hAnsi="Aptos" w:eastAsia="Aptos" w:cs="Aptos"/>
          <w:lang w:val="en-US"/>
        </w:rPr>
        <w:t xml:space="preserve"> des Nations Unies pour l'environnement</w:t>
      </w:r>
    </w:p>
    <w:p w:rsidRPr="00682E50" w:rsidR="00682E50" w:rsidP="00682E50" w:rsidRDefault="00682E50" w14:paraId="3FF0123B" w14:textId="77777777">
      <w:pPr>
        <w:spacing w:line="240" w:lineRule="auto"/>
        <w:rPr>
          <w:rFonts w:ascii="Aptos" w:hAnsi="Aptos" w:eastAsia="Aptos" w:cs="Aptos"/>
          <w:lang w:val="en-SG"/>
        </w:rPr>
      </w:pPr>
      <w:r w:rsidRPr="00682E50">
        <w:rPr>
          <w:rFonts w:ascii="Aptos" w:hAnsi="Aptos" w:eastAsia="Aptos" w:cs="Aptos"/>
          <w:lang w:val="en-US"/>
        </w:rPr>
        <w:t xml:space="preserve">ONUDC</w:t>
      </w:r>
      <w:r w:rsidRPr="00682E50">
        <w:rPr>
          <w:rFonts w:ascii="Aptos" w:hAnsi="Aptos"/>
        </w:rPr>
        <w:tab/>
      </w:r>
      <w:r w:rsidRPr="00682E50">
        <w:rPr>
          <w:rFonts w:ascii="Aptos" w:hAnsi="Aptos" w:eastAsia="Aptos" w:cs="Aptos"/>
          <w:lang w:val="en-SG"/>
        </w:rPr>
        <w:t xml:space="preserve">Office des Nations unies contre la drogue et le crime </w:t>
      </w:r>
    </w:p>
    <w:p w:rsidRPr="00682E50" w:rsidR="00682E50" w:rsidP="00682E50" w:rsidRDefault="00682E50" w14:paraId="77F8368D" w14:textId="77777777">
      <w:pPr>
        <w:spacing w:line="240" w:lineRule="auto"/>
        <w:rPr>
          <w:rFonts w:ascii="Aptos" w:hAnsi="Aptos" w:eastAsia="Aptos" w:cs="Aptos"/>
          <w:lang w:val="en-SG"/>
        </w:rPr>
      </w:pPr>
      <w:r w:rsidRPr="00682E50">
        <w:rPr>
          <w:rFonts w:ascii="Aptos" w:hAnsi="Aptos" w:eastAsia="Aptos" w:cs="Aptos"/>
          <w:lang w:val="en-SG"/>
        </w:rPr>
        <w:t xml:space="preserve">UNTOC </w:t>
      </w:r>
      <w:r w:rsidRPr="00682E50">
        <w:rPr>
          <w:rFonts w:ascii="Aptos" w:hAnsi="Aptos"/>
        </w:rPr>
        <w:tab/>
      </w:r>
      <w:r w:rsidRPr="00682E50">
        <w:rPr>
          <w:rFonts w:ascii="Aptos" w:hAnsi="Aptos" w:eastAsia="Aptos" w:cs="Aptos"/>
          <w:lang w:val="en-SG"/>
        </w:rPr>
        <w:t xml:space="preserve">Convention des Nations Unies contre la criminalité transnationale organisée </w:t>
      </w:r>
    </w:p>
    <w:p w:rsidRPr="00682E50" w:rsidR="00682E50" w:rsidP="00682E50" w:rsidRDefault="00682E50" w14:paraId="0851A641" w14:textId="77777777">
      <w:pPr>
        <w:spacing w:line="240" w:lineRule="auto"/>
        <w:rPr>
          <w:rFonts w:ascii="Aptos" w:hAnsi="Aptos" w:eastAsia="Aptos" w:cs="Aptos"/>
        </w:rPr>
      </w:pPr>
      <w:r w:rsidRPr="00682E50">
        <w:rPr>
          <w:rFonts w:ascii="Aptos" w:hAnsi="Aptos" w:eastAsia="Aptos" w:cs="Aptos"/>
        </w:rPr>
        <w:t xml:space="preserve">WG</w:t>
      </w:r>
      <w:r w:rsidRPr="00682E50">
        <w:rPr>
          <w:rFonts w:ascii="Aptos" w:hAnsi="Aptos"/>
        </w:rPr>
        <w:tab/>
      </w:r>
      <w:r w:rsidRPr="00682E50">
        <w:rPr>
          <w:rFonts w:ascii="Aptos" w:hAnsi="Aptos"/>
        </w:rPr>
        <w:tab/>
      </w:r>
      <w:r w:rsidRPr="00682E50">
        <w:rPr>
          <w:rFonts w:ascii="Aptos" w:hAnsi="Aptos" w:eastAsia="Aptos" w:cs="Aptos"/>
        </w:rPr>
        <w:t xml:space="preserve">Groupe de travail</w:t>
      </w:r>
    </w:p>
    <w:p w:rsidRPr="00682E50" w:rsidR="00682E50" w:rsidP="00682E50" w:rsidRDefault="00682E50" w14:paraId="3F63B5CC" w14:textId="77777777">
      <w:pPr>
        <w:spacing w:line="240" w:lineRule="auto"/>
        <w:rPr>
          <w:rFonts w:ascii="Aptos" w:hAnsi="Aptos" w:eastAsia="Aptos" w:cs="Aptos"/>
        </w:rPr>
      </w:pPr>
      <w:r w:rsidRPr="00682E50">
        <w:rPr>
          <w:rFonts w:ascii="Aptos" w:hAnsi="Aptos" w:eastAsia="Aptos" w:cs="Aptos"/>
        </w:rPr>
        <w:t xml:space="preserve">OMS</w:t>
      </w:r>
      <w:r w:rsidRPr="00682E50">
        <w:rPr>
          <w:rFonts w:ascii="Aptos" w:hAnsi="Aptos"/>
        </w:rPr>
        <w:tab/>
      </w:r>
      <w:r w:rsidRPr="00682E50">
        <w:rPr>
          <w:rFonts w:ascii="Aptos" w:hAnsi="Aptos"/>
        </w:rPr>
        <w:tab/>
      </w:r>
      <w:r w:rsidRPr="00682E50">
        <w:rPr>
          <w:rFonts w:ascii="Aptos" w:hAnsi="Aptos" w:eastAsia="Aptos" w:cs="Aptos"/>
        </w:rPr>
        <w:t xml:space="preserve">Organisation mondiale de la santé</w:t>
      </w:r>
    </w:p>
    <w:p w:rsidRPr="00682E50" w:rsidR="007A4A91" w:rsidP="00682E50" w:rsidRDefault="00682E50" w14:paraId="244DC829" w14:textId="79514B1B">
      <w:pPr>
        <w:spacing w:line="240" w:lineRule="auto"/>
        <w:rPr>
          <w:rFonts w:ascii="Aptos" w:hAnsi="Aptos" w:eastAsia="Aptos" w:cs="Aptos"/>
          <w:lang w:val="en-US"/>
        </w:rPr>
      </w:pPr>
      <w:r w:rsidRPr="00682E50">
        <w:rPr>
          <w:rFonts w:ascii="Aptos" w:hAnsi="Aptos" w:eastAsia="Aptos" w:cs="Aptos"/>
          <w:lang w:val="en-US"/>
        </w:rPr>
        <w:t xml:space="preserve">OIE</w:t>
      </w:r>
      <w:r w:rsidRPr="00682E50">
        <w:rPr>
          <w:rFonts w:ascii="Aptos" w:hAnsi="Aptos"/>
        </w:rPr>
        <w:tab/>
      </w:r>
      <w:r w:rsidRPr="00682E50">
        <w:rPr>
          <w:rFonts w:ascii="Aptos" w:hAnsi="Aptos"/>
        </w:rPr>
        <w:tab/>
      </w:r>
      <w:r w:rsidRPr="00682E50">
        <w:rPr>
          <w:rFonts w:ascii="Aptos" w:hAnsi="Aptos" w:eastAsia="Aptos" w:cs="Aptos"/>
          <w:lang w:val="en-US"/>
        </w:rPr>
        <w:t xml:space="preserve">Organisation</w:t>
      </w:r>
      <w:r w:rsidRPr="00682E50">
        <w:rPr>
          <w:rFonts w:ascii="Aptos" w:hAnsi="Aptos" w:eastAsia="Aptos" w:cs="Aptos"/>
          <w:lang w:val="en-US"/>
        </w:rPr>
        <w:t xml:space="preserve"> mondiale </w:t>
      </w:r>
      <w:r w:rsidRPr="00682E50">
        <w:rPr>
          <w:rFonts w:ascii="Aptos" w:hAnsi="Aptos" w:eastAsia="Aptos" w:cs="Aptos"/>
          <w:lang w:val="en-US"/>
        </w:rPr>
        <w:t xml:space="preserve">de la santé animale</w:t>
      </w:r>
    </w:p>
    <w:sectPr w:rsidRPr="00682E50" w:rsidR="007A4A91">
      <w:headerReference w:type="default" r:id="rId63"/>
      <w:headerReference w:type="first" r:id="rId64"/>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E36C6F" w:rsidRDefault="00E36C6F" w14:paraId="43163517" w14:textId="77777777">
      <w:pPr>
        <w:spacing w:line="240" w:lineRule="auto"/>
      </w:pPr>
      <w:r>
        <w:separator/>
      </w:r>
    </w:p>
  </w:endnote>
  <w:endnote w:type="continuationSeparator" w:id="0">
    <w:p w:rsidR="00E36C6F" w:rsidRDefault="00E36C6F" w14:paraId="7A2E6DEF"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FDA0ACB9-B08B-9447-AF68-E8CC829EEF34}"/>
    <w:embedBold r:id="rId2" w:fontKey="{B1FCBDCB-6A47-0D49-925B-DA99E90CF786}"/>
    <w:embedItalic r:id="rId3" w:fontKey="{2C166B35-3C64-5E47-882A-557F2108B33C}"/>
    <w:embedBoldItalic r:id="rId4" w:fontKey="{53D109B2-1BC1-464C-BA56-1F73551A2A1D}"/>
  </w:font>
  <w:font w:name="Times New Roman">
    <w:panose1 w:val="02020603050405020304"/>
    <w:charset w:val="00"/>
    <w:family w:val="roman"/>
    <w:pitch w:val="variable"/>
    <w:sig w:usb0="E0002EFF" w:usb1="C000785B" w:usb2="00000009" w:usb3="00000000" w:csb0="000001FF" w:csb1="00000000"/>
    <w:embedRegular r:id="rId5" w:fontKey="{AD052009-6FDB-EE41-9367-5D98768E06F3}"/>
    <w:embedBold r:id="rId6" w:fontKey="{1AA2308A-84DC-7F47-B6EB-8927F477E2F9}"/>
  </w:font>
  <w:font w:name="Courier New">
    <w:panose1 w:val="02070309020205020404"/>
    <w:charset w:val="00"/>
    <w:family w:val="modern"/>
    <w:pitch w:val="fixed"/>
    <w:sig w:usb0="E0002AFF" w:usb1="C0007843" w:usb2="00000009" w:usb3="00000000" w:csb0="000001FF" w:csb1="00000000"/>
    <w:embedRegular r:id="rId7" w:fontKey="{8AA9DF0D-98D8-534D-8232-9F87775F4A30}"/>
  </w:font>
  <w:font w:name="Wingdings">
    <w:panose1 w:val="05000000000000000000"/>
    <w:charset w:val="4D"/>
    <w:family w:val="decorative"/>
    <w:pitch w:val="variable"/>
    <w:sig w:usb0="00000003" w:usb1="00000000" w:usb2="00000000" w:usb3="00000000" w:csb0="80000001" w:csb1="00000000"/>
    <w:embedRegular r:id="rId8" w:fontKey="{666812BF-1C3B-1C4C-8157-0ECF89E7715B}"/>
  </w:font>
  <w:font w:name="Symbol">
    <w:panose1 w:val="05050102010706020507"/>
    <w:charset w:val="02"/>
    <w:family w:val="decorative"/>
    <w:pitch w:val="variable"/>
    <w:sig w:usb0="00000000" w:usb1="10000000" w:usb2="00000000" w:usb3="00000000" w:csb0="80000000" w:csb1="00000000"/>
    <w:embedRegular r:id="rId9" w:fontKey="{105832B6-83DC-754C-A1A2-7C9FE76678C2}"/>
  </w:font>
  <w:font w:name="Verdana">
    <w:panose1 w:val="020B0604030504040204"/>
    <w:charset w:val="00"/>
    <w:family w:val="swiss"/>
    <w:pitch w:val="variable"/>
    <w:sig w:usb0="A10006FF" w:usb1="4000205B" w:usb2="00000010" w:usb3="00000000" w:csb0="0000019F" w:csb1="00000000"/>
    <w:embedRegular r:id="rId10" w:fontKey="{4E2623AA-ED9D-C24A-8864-FC54CC4E4FEE}"/>
  </w:font>
  <w:font w:name="Arial">
    <w:panose1 w:val="020B0604020202020204"/>
    <w:charset w:val="00"/>
    <w:family w:val="swiss"/>
    <w:pitch w:val="variable"/>
    <w:sig w:usb0="E0002AFF" w:usb1="C0007843" w:usb2="00000009" w:usb3="00000000" w:csb0="000001FF" w:csb1="00000000"/>
    <w:embedRegular r:id="rId11" w:fontKey="{15ECAF29-22E6-E644-A35A-B912B20C8F3A}"/>
    <w:embedBold r:id="rId12" w:fontKey="{92B86FCE-459A-5343-93C4-3A5D6AB0511F}"/>
    <w:embedItalic r:id="rId13" w:fontKey="{67626268-D1A8-864D-9B1B-8195A2C1B4EC}"/>
    <w:embedBoldItalic r:id="rId14" w:fontKey="{1A1A387A-2BAC-C341-ADC7-D12F762E7106}"/>
  </w:font>
  <w:font w:name="Twentieth Century">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18" w:fontKey="{2A4667C5-A5E0-404D-87F2-5762D936588B}"/>
    <w:embedBold r:id="rId19" w:fontKey="{424BA87F-608E-8746-9C62-B85AC17ACCB9}"/>
    <w:embedBoldItalic r:id="rId20" w:fontKey="{0302064C-32EE-1F40-8C2C-0D53C55C8969}"/>
  </w:font>
  <w:font w:name="Calibri">
    <w:panose1 w:val="020F0502020204030204"/>
    <w:charset w:val="00"/>
    <w:family w:val="swiss"/>
    <w:pitch w:val="variable"/>
    <w:sig w:usb0="E4002EFF" w:usb1="C200247B" w:usb2="00000009" w:usb3="00000000" w:csb0="000001FF" w:csb1="00000000"/>
    <w:embedRegular r:id="rId21" w:fontKey="{DE10E483-B26F-B743-AD30-D85FE81EEAAA}"/>
    <w:embedBold r:id="rId22" w:fontKey="{372993A2-ED5B-3143-BD78-D085A376C757}"/>
  </w:font>
  <w:font w:name="Aptos ExtraBold">
    <w:panose1 w:val="020B0004020202020204"/>
    <w:charset w:val="00"/>
    <w:family w:val="swiss"/>
    <w:pitch w:val="variable"/>
    <w:sig w:usb0="20000287" w:usb1="00000003" w:usb2="00000000" w:usb3="00000000" w:csb0="0000019F" w:csb1="00000000"/>
    <w:embedBold r:id="rId23" w:fontKey="{D0F3E9F9-D252-0448-BFCB-29F0B08B1BD3}"/>
  </w:font>
  <w:font w:name="Cambria Math">
    <w:panose1 w:val="02040503050406030204"/>
    <w:charset w:val="00"/>
    <w:family w:val="roman"/>
    <w:pitch w:val="variable"/>
    <w:sig w:usb0="E00002FF" w:usb1="420024FF" w:usb2="00000000" w:usb3="00000000" w:csb0="0000019F" w:csb1="00000000"/>
    <w:embedRegular r:id="rId24" w:fontKey="{1BC6F104-3959-8B45-8A10-5555021CC3E9}"/>
  </w:font>
  <w:font w:name="Aptos Light">
    <w:panose1 w:val="020B0004020202020204"/>
    <w:charset w:val="00"/>
    <w:family w:val="swiss"/>
    <w:pitch w:val="variable"/>
    <w:sig w:usb0="20000287" w:usb1="00000003" w:usb2="00000000" w:usb3="00000000" w:csb0="0000019F" w:csb1="00000000"/>
    <w:embedRegular r:id="rId25" w:fontKey="{0D53358A-E852-7844-A3EB-13D69972D98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E36C6F" w:rsidRDefault="00E36C6F" w14:paraId="2975C8F6" w14:textId="77777777">
      <w:pPr>
        <w:spacing w:line="240" w:lineRule="auto"/>
      </w:pPr>
      <w:r>
        <w:separator/>
      </w:r>
    </w:p>
  </w:footnote>
  <w:footnote w:type="continuationSeparator" w:id="0">
    <w:p w:rsidR="00E36C6F" w:rsidRDefault="00E36C6F" w14:paraId="16DACCA7"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682E50" w:rsidR="007A4A91" w:rsidP="00682E50" w:rsidRDefault="00682E50" w14:paraId="74CB31E5" w14:textId="763A3B05">
    <w:pPr>
      <w:rPr>
        <w:rFonts w:ascii="Aptos Light" w:hAnsi="Aptos Light" w:eastAsia="Twentieth Century" w:cs="Twentieth Century"/>
        <w:color w:val="E06666"/>
        <w:sz w:val="16"/>
        <w:szCs w:val="14"/>
        <w:shd w:val="clear" w:color="auto" w:fill="FFF2CC"/>
      </w:rPr>
    </w:pPr>
    <w:r w:rsidRPr="00682E50">
      <w:rPr>
        <w:rFonts w:ascii="Aptos Light" w:hAnsi="Aptos Light" w:eastAsia="Twentieth Century" w:cs="Twentieth Century"/>
        <w:color w:val="F9CB9C"/>
        <w:sz w:val="16"/>
        <w:szCs w:val="14"/>
      </w:rPr>
      <w:t xml:space="preserve">Mise à jour : 10 octobre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A4A91" w:rsidRDefault="00000000" w14:paraId="44067D19" w14:textId="1956C9F0">
    <w:pPr>
      <w:rPr>
        <w:rFonts w:ascii="Aptos Light" w:hAnsi="Aptos Light" w:eastAsia="Twentieth Century" w:cs="Twentieth Century"/>
        <w:color w:val="F9CB9C"/>
        <w:sz w:val="16"/>
        <w:szCs w:val="14"/>
      </w:rPr>
    </w:pPr>
    <w:r w:rsidRPr="00682E50">
      <w:rPr>
        <w:rFonts w:ascii="Aptos Light" w:hAnsi="Aptos Light" w:eastAsia="Twentieth Century" w:cs="Twentieth Century"/>
        <w:color w:val="F9CB9C"/>
        <w:sz w:val="16"/>
        <w:szCs w:val="14"/>
      </w:rPr>
      <w:t xml:space="preserve">Mise à jour :</w:t>
    </w:r>
    <w:r w:rsidRPr="00682E50" w:rsidR="00606ACB">
      <w:rPr>
        <w:rFonts w:ascii="Aptos Light" w:hAnsi="Aptos Light" w:eastAsia="Twentieth Century" w:cs="Twentieth Century"/>
        <w:color w:val="F9CB9C"/>
        <w:sz w:val="16"/>
        <w:szCs w:val="14"/>
      </w:rPr>
      <w:t xml:space="preserve"> 10 </w:t>
    </w:r>
    <w:r w:rsidRPr="00682E50">
      <w:rPr>
        <w:rFonts w:ascii="Aptos Light" w:hAnsi="Aptos Light" w:eastAsia="Twentieth Century" w:cs="Twentieth Century"/>
        <w:color w:val="F9CB9C"/>
        <w:sz w:val="16"/>
        <w:szCs w:val="14"/>
      </w:rPr>
      <w:t xml:space="preserve">octobre 2026</w:t>
    </w:r>
  </w:p>
  <w:p w:rsidRPr="00C515BB" w:rsidR="00C515BB" w:rsidRDefault="00C515BB" w14:paraId="26B0EB67" w14:textId="46623E31">
    <w:pPr>
      <w:rPr>
        <w:rFonts w:ascii="Aptos Light" w:hAnsi="Aptos Light" w:eastAsia="Twentieth Century" w:cs="Twentieth Century"/>
        <w:color w:val="C00000"/>
        <w:sz w:val="16"/>
        <w:szCs w:val="14"/>
        <w:shd w:val="clear" w:color="auto" w:fill="FFF2CC"/>
      </w:rPr>
    </w:pPr>
    <w:r w:rsidRPr="00C515BB">
      <w:rPr>
        <w:rFonts w:ascii="Aptos Light" w:hAnsi="Aptos Light" w:eastAsia="Twentieth Century" w:cs="Twentieth Century"/>
        <w:color w:val="C00000"/>
        <w:sz w:val="16"/>
        <w:szCs w:val="14"/>
      </w:rPr>
      <w:t xml:space="preserve">Il s'agit d'une traduction automatique.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EBA83B"/>
    <w:multiLevelType w:val="hybridMultilevel"/>
    <w:tmpl w:val="4B9282A0"/>
    <w:lvl w:ilvl="0" w:tplc="BDEC8C70">
      <w:start w:val="1"/>
      <w:numFmt w:val="bullet"/>
      <w:lvlText w:val="-"/>
      <w:lvlJc w:val="left"/>
      <w:pPr>
        <w:ind w:left="720" w:hanging="360"/>
      </w:pPr>
      <w:rPr>
        <w:rFonts w:ascii="Aptos" w:hAnsi="Aptos" w:hint="default"/>
      </w:rPr>
    </w:lvl>
    <w:lvl w:ilvl="1" w:tplc="4CA83970">
      <w:start w:val="1"/>
      <w:numFmt w:val="bullet"/>
      <w:lvlText w:val="o"/>
      <w:lvlJc w:val="left"/>
      <w:pPr>
        <w:ind w:left="1440" w:hanging="360"/>
      </w:pPr>
      <w:rPr>
        <w:rFonts w:ascii="Courier New" w:hAnsi="Courier New" w:hint="default"/>
      </w:rPr>
    </w:lvl>
    <w:lvl w:ilvl="2" w:tplc="FA52C8A6">
      <w:start w:val="1"/>
      <w:numFmt w:val="bullet"/>
      <w:lvlText w:val=""/>
      <w:lvlJc w:val="left"/>
      <w:pPr>
        <w:ind w:left="2160" w:hanging="360"/>
      </w:pPr>
      <w:rPr>
        <w:rFonts w:ascii="Wingdings" w:hAnsi="Wingdings" w:hint="default"/>
      </w:rPr>
    </w:lvl>
    <w:lvl w:ilvl="3" w:tplc="2A3CAC2A">
      <w:start w:val="1"/>
      <w:numFmt w:val="bullet"/>
      <w:lvlText w:val=""/>
      <w:lvlJc w:val="left"/>
      <w:pPr>
        <w:ind w:left="2880" w:hanging="360"/>
      </w:pPr>
      <w:rPr>
        <w:rFonts w:ascii="Symbol" w:hAnsi="Symbol" w:hint="default"/>
      </w:rPr>
    </w:lvl>
    <w:lvl w:ilvl="4" w:tplc="336C2680">
      <w:start w:val="1"/>
      <w:numFmt w:val="bullet"/>
      <w:lvlText w:val="o"/>
      <w:lvlJc w:val="left"/>
      <w:pPr>
        <w:ind w:left="3600" w:hanging="360"/>
      </w:pPr>
      <w:rPr>
        <w:rFonts w:ascii="Courier New" w:hAnsi="Courier New" w:hint="default"/>
      </w:rPr>
    </w:lvl>
    <w:lvl w:ilvl="5" w:tplc="65C010BE">
      <w:start w:val="1"/>
      <w:numFmt w:val="bullet"/>
      <w:lvlText w:val=""/>
      <w:lvlJc w:val="left"/>
      <w:pPr>
        <w:ind w:left="4320" w:hanging="360"/>
      </w:pPr>
      <w:rPr>
        <w:rFonts w:ascii="Wingdings" w:hAnsi="Wingdings" w:hint="default"/>
      </w:rPr>
    </w:lvl>
    <w:lvl w:ilvl="6" w:tplc="942CED3C">
      <w:start w:val="1"/>
      <w:numFmt w:val="bullet"/>
      <w:lvlText w:val=""/>
      <w:lvlJc w:val="left"/>
      <w:pPr>
        <w:ind w:left="5040" w:hanging="360"/>
      </w:pPr>
      <w:rPr>
        <w:rFonts w:ascii="Symbol" w:hAnsi="Symbol" w:hint="default"/>
      </w:rPr>
    </w:lvl>
    <w:lvl w:ilvl="7" w:tplc="BE8216D2">
      <w:start w:val="1"/>
      <w:numFmt w:val="bullet"/>
      <w:lvlText w:val="o"/>
      <w:lvlJc w:val="left"/>
      <w:pPr>
        <w:ind w:left="5760" w:hanging="360"/>
      </w:pPr>
      <w:rPr>
        <w:rFonts w:ascii="Courier New" w:hAnsi="Courier New" w:hint="default"/>
      </w:rPr>
    </w:lvl>
    <w:lvl w:ilvl="8" w:tplc="D5E64EF8">
      <w:start w:val="1"/>
      <w:numFmt w:val="bullet"/>
      <w:lvlText w:val=""/>
      <w:lvlJc w:val="left"/>
      <w:pPr>
        <w:ind w:left="6480" w:hanging="360"/>
      </w:pPr>
      <w:rPr>
        <w:rFonts w:ascii="Wingdings" w:hAnsi="Wingdings" w:hint="default"/>
      </w:rPr>
    </w:lvl>
  </w:abstractNum>
  <w:abstractNum w:abstractNumId="1" w15:restartNumberingAfterBreak="0">
    <w:nsid w:val="0DCA39C3"/>
    <w:multiLevelType w:val="hybridMultilevel"/>
    <w:tmpl w:val="6C1A98FA"/>
    <w:lvl w:ilvl="0" w:tplc="242C1A06">
      <w:start w:val="1"/>
      <w:numFmt w:val="bullet"/>
      <w:lvlText w:val="o"/>
      <w:lvlJc w:val="left"/>
      <w:pPr>
        <w:ind w:left="720" w:hanging="360"/>
      </w:pPr>
      <w:rPr>
        <w:rFonts w:ascii="Courier New" w:hAnsi="Courier New" w:hint="default"/>
      </w:rPr>
    </w:lvl>
    <w:lvl w:ilvl="1" w:tplc="E078E8F4">
      <w:start w:val="1"/>
      <w:numFmt w:val="bullet"/>
      <w:lvlText w:val="o"/>
      <w:lvlJc w:val="left"/>
      <w:pPr>
        <w:ind w:left="1440" w:hanging="360"/>
      </w:pPr>
      <w:rPr>
        <w:rFonts w:ascii="Courier New" w:hAnsi="Courier New" w:hint="default"/>
      </w:rPr>
    </w:lvl>
    <w:lvl w:ilvl="2" w:tplc="72CA2FF6">
      <w:start w:val="1"/>
      <w:numFmt w:val="bullet"/>
      <w:lvlText w:val=""/>
      <w:lvlJc w:val="left"/>
      <w:pPr>
        <w:ind w:left="2160" w:hanging="360"/>
      </w:pPr>
      <w:rPr>
        <w:rFonts w:ascii="Wingdings" w:hAnsi="Wingdings" w:hint="default"/>
      </w:rPr>
    </w:lvl>
    <w:lvl w:ilvl="3" w:tplc="53DC9C3E">
      <w:start w:val="1"/>
      <w:numFmt w:val="bullet"/>
      <w:lvlText w:val=""/>
      <w:lvlJc w:val="left"/>
      <w:pPr>
        <w:ind w:left="2880" w:hanging="360"/>
      </w:pPr>
      <w:rPr>
        <w:rFonts w:ascii="Symbol" w:hAnsi="Symbol" w:hint="default"/>
      </w:rPr>
    </w:lvl>
    <w:lvl w:ilvl="4" w:tplc="6E0E8F6A">
      <w:start w:val="1"/>
      <w:numFmt w:val="bullet"/>
      <w:lvlText w:val="o"/>
      <w:lvlJc w:val="left"/>
      <w:pPr>
        <w:ind w:left="3600" w:hanging="360"/>
      </w:pPr>
      <w:rPr>
        <w:rFonts w:ascii="Courier New" w:hAnsi="Courier New" w:hint="default"/>
      </w:rPr>
    </w:lvl>
    <w:lvl w:ilvl="5" w:tplc="73BA4368">
      <w:start w:val="1"/>
      <w:numFmt w:val="bullet"/>
      <w:lvlText w:val=""/>
      <w:lvlJc w:val="left"/>
      <w:pPr>
        <w:ind w:left="4320" w:hanging="360"/>
      </w:pPr>
      <w:rPr>
        <w:rFonts w:ascii="Wingdings" w:hAnsi="Wingdings" w:hint="default"/>
      </w:rPr>
    </w:lvl>
    <w:lvl w:ilvl="6" w:tplc="3CC0FCF8">
      <w:start w:val="1"/>
      <w:numFmt w:val="bullet"/>
      <w:lvlText w:val=""/>
      <w:lvlJc w:val="left"/>
      <w:pPr>
        <w:ind w:left="5040" w:hanging="360"/>
      </w:pPr>
      <w:rPr>
        <w:rFonts w:ascii="Symbol" w:hAnsi="Symbol" w:hint="default"/>
      </w:rPr>
    </w:lvl>
    <w:lvl w:ilvl="7" w:tplc="742ADFD0">
      <w:start w:val="1"/>
      <w:numFmt w:val="bullet"/>
      <w:lvlText w:val="o"/>
      <w:lvlJc w:val="left"/>
      <w:pPr>
        <w:ind w:left="5760" w:hanging="360"/>
      </w:pPr>
      <w:rPr>
        <w:rFonts w:ascii="Courier New" w:hAnsi="Courier New" w:hint="default"/>
      </w:rPr>
    </w:lvl>
    <w:lvl w:ilvl="8" w:tplc="AD9242AC">
      <w:start w:val="1"/>
      <w:numFmt w:val="bullet"/>
      <w:lvlText w:val=""/>
      <w:lvlJc w:val="left"/>
      <w:pPr>
        <w:ind w:left="6480" w:hanging="360"/>
      </w:pPr>
      <w:rPr>
        <w:rFonts w:ascii="Wingdings" w:hAnsi="Wingdings" w:hint="default"/>
      </w:rPr>
    </w:lvl>
  </w:abstractNum>
  <w:abstractNum w:abstractNumId="2" w15:restartNumberingAfterBreak="0">
    <w:nsid w:val="0ECDB757"/>
    <w:multiLevelType w:val="hybridMultilevel"/>
    <w:tmpl w:val="FFFFFFFF"/>
    <w:lvl w:ilvl="0" w:tplc="2FF42626">
      <w:start w:val="1"/>
      <w:numFmt w:val="bullet"/>
      <w:lvlText w:val=""/>
      <w:lvlJc w:val="left"/>
      <w:pPr>
        <w:ind w:left="720" w:hanging="360"/>
      </w:pPr>
      <w:rPr>
        <w:rFonts w:ascii="Symbol" w:hAnsi="Symbol" w:hint="default"/>
      </w:rPr>
    </w:lvl>
    <w:lvl w:ilvl="1" w:tplc="EE7822EA">
      <w:start w:val="1"/>
      <w:numFmt w:val="bullet"/>
      <w:lvlText w:val="o"/>
      <w:lvlJc w:val="left"/>
      <w:pPr>
        <w:ind w:left="1440" w:hanging="360"/>
      </w:pPr>
      <w:rPr>
        <w:rFonts w:ascii="Courier New" w:hAnsi="Courier New" w:hint="default"/>
      </w:rPr>
    </w:lvl>
    <w:lvl w:ilvl="2" w:tplc="DB6666AA">
      <w:start w:val="1"/>
      <w:numFmt w:val="bullet"/>
      <w:lvlText w:val=""/>
      <w:lvlJc w:val="left"/>
      <w:pPr>
        <w:ind w:left="2160" w:hanging="360"/>
      </w:pPr>
      <w:rPr>
        <w:rFonts w:ascii="Wingdings" w:hAnsi="Wingdings" w:hint="default"/>
      </w:rPr>
    </w:lvl>
    <w:lvl w:ilvl="3" w:tplc="F5243142">
      <w:start w:val="1"/>
      <w:numFmt w:val="bullet"/>
      <w:lvlText w:val=""/>
      <w:lvlJc w:val="left"/>
      <w:pPr>
        <w:ind w:left="2880" w:hanging="360"/>
      </w:pPr>
      <w:rPr>
        <w:rFonts w:ascii="Symbol" w:hAnsi="Symbol" w:hint="default"/>
      </w:rPr>
    </w:lvl>
    <w:lvl w:ilvl="4" w:tplc="165E5C0C">
      <w:start w:val="1"/>
      <w:numFmt w:val="bullet"/>
      <w:lvlText w:val="o"/>
      <w:lvlJc w:val="left"/>
      <w:pPr>
        <w:ind w:left="3600" w:hanging="360"/>
      </w:pPr>
      <w:rPr>
        <w:rFonts w:ascii="Courier New" w:hAnsi="Courier New" w:hint="default"/>
      </w:rPr>
    </w:lvl>
    <w:lvl w:ilvl="5" w:tplc="A8FA09A0">
      <w:start w:val="1"/>
      <w:numFmt w:val="bullet"/>
      <w:lvlText w:val=""/>
      <w:lvlJc w:val="left"/>
      <w:pPr>
        <w:ind w:left="4320" w:hanging="360"/>
      </w:pPr>
      <w:rPr>
        <w:rFonts w:ascii="Wingdings" w:hAnsi="Wingdings" w:hint="default"/>
      </w:rPr>
    </w:lvl>
    <w:lvl w:ilvl="6" w:tplc="AEF21F1C">
      <w:start w:val="1"/>
      <w:numFmt w:val="bullet"/>
      <w:lvlText w:val=""/>
      <w:lvlJc w:val="left"/>
      <w:pPr>
        <w:ind w:left="5040" w:hanging="360"/>
      </w:pPr>
      <w:rPr>
        <w:rFonts w:ascii="Symbol" w:hAnsi="Symbol" w:hint="default"/>
      </w:rPr>
    </w:lvl>
    <w:lvl w:ilvl="7" w:tplc="F4F03EC8">
      <w:start w:val="1"/>
      <w:numFmt w:val="bullet"/>
      <w:lvlText w:val="o"/>
      <w:lvlJc w:val="left"/>
      <w:pPr>
        <w:ind w:left="5760" w:hanging="360"/>
      </w:pPr>
      <w:rPr>
        <w:rFonts w:ascii="Courier New" w:hAnsi="Courier New" w:hint="default"/>
      </w:rPr>
    </w:lvl>
    <w:lvl w:ilvl="8" w:tplc="00B22C0C">
      <w:start w:val="1"/>
      <w:numFmt w:val="bullet"/>
      <w:lvlText w:val=""/>
      <w:lvlJc w:val="left"/>
      <w:pPr>
        <w:ind w:left="6480" w:hanging="360"/>
      </w:pPr>
      <w:rPr>
        <w:rFonts w:ascii="Wingdings" w:hAnsi="Wingdings" w:hint="default"/>
      </w:rPr>
    </w:lvl>
  </w:abstractNum>
  <w:abstractNum w:abstractNumId="3" w15:restartNumberingAfterBreak="0">
    <w:nsid w:val="19E38B63"/>
    <w:multiLevelType w:val="hybridMultilevel"/>
    <w:tmpl w:val="FFFFFFFF"/>
    <w:lvl w:ilvl="0" w:tplc="8EDE6CA8">
      <w:start w:val="1"/>
      <w:numFmt w:val="bullet"/>
      <w:lvlText w:val=""/>
      <w:lvlJc w:val="left"/>
      <w:pPr>
        <w:ind w:left="720" w:hanging="360"/>
      </w:pPr>
      <w:rPr>
        <w:rFonts w:ascii="Symbol" w:hAnsi="Symbol" w:hint="default"/>
      </w:rPr>
    </w:lvl>
    <w:lvl w:ilvl="1" w:tplc="FC70D9CC">
      <w:start w:val="1"/>
      <w:numFmt w:val="bullet"/>
      <w:lvlText w:val="o"/>
      <w:lvlJc w:val="left"/>
      <w:pPr>
        <w:ind w:left="1440" w:hanging="360"/>
      </w:pPr>
      <w:rPr>
        <w:rFonts w:ascii="Courier New" w:hAnsi="Courier New" w:hint="default"/>
      </w:rPr>
    </w:lvl>
    <w:lvl w:ilvl="2" w:tplc="121401F8">
      <w:start w:val="1"/>
      <w:numFmt w:val="bullet"/>
      <w:lvlText w:val=""/>
      <w:lvlJc w:val="left"/>
      <w:pPr>
        <w:ind w:left="2160" w:hanging="360"/>
      </w:pPr>
      <w:rPr>
        <w:rFonts w:ascii="Wingdings" w:hAnsi="Wingdings" w:hint="default"/>
      </w:rPr>
    </w:lvl>
    <w:lvl w:ilvl="3" w:tplc="062631A6">
      <w:start w:val="1"/>
      <w:numFmt w:val="bullet"/>
      <w:lvlText w:val=""/>
      <w:lvlJc w:val="left"/>
      <w:pPr>
        <w:ind w:left="2880" w:hanging="360"/>
      </w:pPr>
      <w:rPr>
        <w:rFonts w:ascii="Symbol" w:hAnsi="Symbol" w:hint="default"/>
      </w:rPr>
    </w:lvl>
    <w:lvl w:ilvl="4" w:tplc="1E70108E">
      <w:start w:val="1"/>
      <w:numFmt w:val="bullet"/>
      <w:lvlText w:val="o"/>
      <w:lvlJc w:val="left"/>
      <w:pPr>
        <w:ind w:left="3600" w:hanging="360"/>
      </w:pPr>
      <w:rPr>
        <w:rFonts w:ascii="Courier New" w:hAnsi="Courier New" w:hint="default"/>
      </w:rPr>
    </w:lvl>
    <w:lvl w:ilvl="5" w:tplc="55C4B6F6">
      <w:start w:val="1"/>
      <w:numFmt w:val="bullet"/>
      <w:lvlText w:val=""/>
      <w:lvlJc w:val="left"/>
      <w:pPr>
        <w:ind w:left="4320" w:hanging="360"/>
      </w:pPr>
      <w:rPr>
        <w:rFonts w:ascii="Wingdings" w:hAnsi="Wingdings" w:hint="default"/>
      </w:rPr>
    </w:lvl>
    <w:lvl w:ilvl="6" w:tplc="6E3424C8">
      <w:start w:val="1"/>
      <w:numFmt w:val="bullet"/>
      <w:lvlText w:val=""/>
      <w:lvlJc w:val="left"/>
      <w:pPr>
        <w:ind w:left="5040" w:hanging="360"/>
      </w:pPr>
      <w:rPr>
        <w:rFonts w:ascii="Symbol" w:hAnsi="Symbol" w:hint="default"/>
      </w:rPr>
    </w:lvl>
    <w:lvl w:ilvl="7" w:tplc="568A4762">
      <w:start w:val="1"/>
      <w:numFmt w:val="bullet"/>
      <w:lvlText w:val="o"/>
      <w:lvlJc w:val="left"/>
      <w:pPr>
        <w:ind w:left="5760" w:hanging="360"/>
      </w:pPr>
      <w:rPr>
        <w:rFonts w:ascii="Courier New" w:hAnsi="Courier New" w:hint="default"/>
      </w:rPr>
    </w:lvl>
    <w:lvl w:ilvl="8" w:tplc="01CA1652">
      <w:start w:val="1"/>
      <w:numFmt w:val="bullet"/>
      <w:lvlText w:val=""/>
      <w:lvlJc w:val="left"/>
      <w:pPr>
        <w:ind w:left="6480" w:hanging="360"/>
      </w:pPr>
      <w:rPr>
        <w:rFonts w:ascii="Wingdings" w:hAnsi="Wingdings" w:hint="default"/>
      </w:rPr>
    </w:lvl>
  </w:abstractNum>
  <w:abstractNum w:abstractNumId="4" w15:restartNumberingAfterBreak="0">
    <w:nsid w:val="1FCA94BD"/>
    <w:multiLevelType w:val="hybridMultilevel"/>
    <w:tmpl w:val="88D27FCA"/>
    <w:lvl w:ilvl="0" w:tplc="08BC62F0">
      <w:start w:val="1"/>
      <w:numFmt w:val="bullet"/>
      <w:lvlText w:val="·"/>
      <w:lvlJc w:val="left"/>
      <w:pPr>
        <w:ind w:left="720" w:hanging="360"/>
      </w:pPr>
      <w:rPr>
        <w:rFonts w:ascii="Symbol" w:hAnsi="Symbol" w:hint="default"/>
      </w:rPr>
    </w:lvl>
    <w:lvl w:ilvl="1" w:tplc="F91C47F8">
      <w:start w:val="1"/>
      <w:numFmt w:val="bullet"/>
      <w:lvlText w:val="o"/>
      <w:lvlJc w:val="left"/>
      <w:pPr>
        <w:ind w:left="1440" w:hanging="360"/>
      </w:pPr>
      <w:rPr>
        <w:rFonts w:ascii="Courier New" w:hAnsi="Courier New" w:hint="default"/>
      </w:rPr>
    </w:lvl>
    <w:lvl w:ilvl="2" w:tplc="4B1272AA">
      <w:start w:val="1"/>
      <w:numFmt w:val="bullet"/>
      <w:lvlText w:val=""/>
      <w:lvlJc w:val="left"/>
      <w:pPr>
        <w:ind w:left="2160" w:hanging="360"/>
      </w:pPr>
      <w:rPr>
        <w:rFonts w:ascii="Wingdings" w:hAnsi="Wingdings" w:hint="default"/>
      </w:rPr>
    </w:lvl>
    <w:lvl w:ilvl="3" w:tplc="828469F4">
      <w:start w:val="1"/>
      <w:numFmt w:val="bullet"/>
      <w:lvlText w:val=""/>
      <w:lvlJc w:val="left"/>
      <w:pPr>
        <w:ind w:left="2880" w:hanging="360"/>
      </w:pPr>
      <w:rPr>
        <w:rFonts w:ascii="Symbol" w:hAnsi="Symbol" w:hint="default"/>
      </w:rPr>
    </w:lvl>
    <w:lvl w:ilvl="4" w:tplc="5002F690">
      <w:start w:val="1"/>
      <w:numFmt w:val="bullet"/>
      <w:lvlText w:val="o"/>
      <w:lvlJc w:val="left"/>
      <w:pPr>
        <w:ind w:left="3600" w:hanging="360"/>
      </w:pPr>
      <w:rPr>
        <w:rFonts w:ascii="Courier New" w:hAnsi="Courier New" w:hint="default"/>
      </w:rPr>
    </w:lvl>
    <w:lvl w:ilvl="5" w:tplc="BDA6FEA6">
      <w:start w:val="1"/>
      <w:numFmt w:val="bullet"/>
      <w:lvlText w:val=""/>
      <w:lvlJc w:val="left"/>
      <w:pPr>
        <w:ind w:left="4320" w:hanging="360"/>
      </w:pPr>
      <w:rPr>
        <w:rFonts w:ascii="Wingdings" w:hAnsi="Wingdings" w:hint="default"/>
      </w:rPr>
    </w:lvl>
    <w:lvl w:ilvl="6" w:tplc="F42266DE">
      <w:start w:val="1"/>
      <w:numFmt w:val="bullet"/>
      <w:lvlText w:val=""/>
      <w:lvlJc w:val="left"/>
      <w:pPr>
        <w:ind w:left="5040" w:hanging="360"/>
      </w:pPr>
      <w:rPr>
        <w:rFonts w:ascii="Symbol" w:hAnsi="Symbol" w:hint="default"/>
      </w:rPr>
    </w:lvl>
    <w:lvl w:ilvl="7" w:tplc="ED8CACE0">
      <w:start w:val="1"/>
      <w:numFmt w:val="bullet"/>
      <w:lvlText w:val="o"/>
      <w:lvlJc w:val="left"/>
      <w:pPr>
        <w:ind w:left="5760" w:hanging="360"/>
      </w:pPr>
      <w:rPr>
        <w:rFonts w:ascii="Courier New" w:hAnsi="Courier New" w:hint="default"/>
      </w:rPr>
    </w:lvl>
    <w:lvl w:ilvl="8" w:tplc="9790F3AC">
      <w:start w:val="1"/>
      <w:numFmt w:val="bullet"/>
      <w:lvlText w:val=""/>
      <w:lvlJc w:val="left"/>
      <w:pPr>
        <w:ind w:left="6480" w:hanging="360"/>
      </w:pPr>
      <w:rPr>
        <w:rFonts w:ascii="Wingdings" w:hAnsi="Wingdings" w:hint="default"/>
      </w:rPr>
    </w:lvl>
  </w:abstractNum>
  <w:abstractNum w:abstractNumId="5" w15:restartNumberingAfterBreak="0">
    <w:nsid w:val="281A7B4A"/>
    <w:multiLevelType w:val="hybridMultilevel"/>
    <w:tmpl w:val="FFFFFFFF"/>
    <w:lvl w:ilvl="0" w:tplc="C374BE68">
      <w:start w:val="1"/>
      <w:numFmt w:val="bullet"/>
      <w:lvlText w:val="-"/>
      <w:lvlJc w:val="left"/>
      <w:pPr>
        <w:ind w:left="720" w:hanging="360"/>
      </w:pPr>
      <w:rPr>
        <w:rFonts w:ascii="Aptos" w:hAnsi="Aptos" w:hint="default"/>
      </w:rPr>
    </w:lvl>
    <w:lvl w:ilvl="1" w:tplc="2CEEEA4C">
      <w:start w:val="1"/>
      <w:numFmt w:val="bullet"/>
      <w:lvlText w:val="o"/>
      <w:lvlJc w:val="left"/>
      <w:pPr>
        <w:ind w:left="1440" w:hanging="360"/>
      </w:pPr>
      <w:rPr>
        <w:rFonts w:ascii="Courier New" w:hAnsi="Courier New" w:hint="default"/>
      </w:rPr>
    </w:lvl>
    <w:lvl w:ilvl="2" w:tplc="26226EDC">
      <w:start w:val="1"/>
      <w:numFmt w:val="bullet"/>
      <w:lvlText w:val=""/>
      <w:lvlJc w:val="left"/>
      <w:pPr>
        <w:ind w:left="2160" w:hanging="360"/>
      </w:pPr>
      <w:rPr>
        <w:rFonts w:ascii="Wingdings" w:hAnsi="Wingdings" w:hint="default"/>
      </w:rPr>
    </w:lvl>
    <w:lvl w:ilvl="3" w:tplc="5016AADE">
      <w:start w:val="1"/>
      <w:numFmt w:val="bullet"/>
      <w:lvlText w:val=""/>
      <w:lvlJc w:val="left"/>
      <w:pPr>
        <w:ind w:left="2880" w:hanging="360"/>
      </w:pPr>
      <w:rPr>
        <w:rFonts w:ascii="Symbol" w:hAnsi="Symbol" w:hint="default"/>
      </w:rPr>
    </w:lvl>
    <w:lvl w:ilvl="4" w:tplc="B4F47994">
      <w:start w:val="1"/>
      <w:numFmt w:val="bullet"/>
      <w:lvlText w:val="o"/>
      <w:lvlJc w:val="left"/>
      <w:pPr>
        <w:ind w:left="3600" w:hanging="360"/>
      </w:pPr>
      <w:rPr>
        <w:rFonts w:ascii="Courier New" w:hAnsi="Courier New" w:hint="default"/>
      </w:rPr>
    </w:lvl>
    <w:lvl w:ilvl="5" w:tplc="8318973C">
      <w:start w:val="1"/>
      <w:numFmt w:val="bullet"/>
      <w:lvlText w:val=""/>
      <w:lvlJc w:val="left"/>
      <w:pPr>
        <w:ind w:left="4320" w:hanging="360"/>
      </w:pPr>
      <w:rPr>
        <w:rFonts w:ascii="Wingdings" w:hAnsi="Wingdings" w:hint="default"/>
      </w:rPr>
    </w:lvl>
    <w:lvl w:ilvl="6" w:tplc="64F0A82E">
      <w:start w:val="1"/>
      <w:numFmt w:val="bullet"/>
      <w:lvlText w:val=""/>
      <w:lvlJc w:val="left"/>
      <w:pPr>
        <w:ind w:left="5040" w:hanging="360"/>
      </w:pPr>
      <w:rPr>
        <w:rFonts w:ascii="Symbol" w:hAnsi="Symbol" w:hint="default"/>
      </w:rPr>
    </w:lvl>
    <w:lvl w:ilvl="7" w:tplc="5A8C2480">
      <w:start w:val="1"/>
      <w:numFmt w:val="bullet"/>
      <w:lvlText w:val="o"/>
      <w:lvlJc w:val="left"/>
      <w:pPr>
        <w:ind w:left="5760" w:hanging="360"/>
      </w:pPr>
      <w:rPr>
        <w:rFonts w:ascii="Courier New" w:hAnsi="Courier New" w:hint="default"/>
      </w:rPr>
    </w:lvl>
    <w:lvl w:ilvl="8" w:tplc="C64C0D38">
      <w:start w:val="1"/>
      <w:numFmt w:val="bullet"/>
      <w:lvlText w:val=""/>
      <w:lvlJc w:val="left"/>
      <w:pPr>
        <w:ind w:left="6480" w:hanging="360"/>
      </w:pPr>
      <w:rPr>
        <w:rFonts w:ascii="Wingdings" w:hAnsi="Wingdings" w:hint="default"/>
      </w:rPr>
    </w:lvl>
  </w:abstractNum>
  <w:abstractNum w:abstractNumId="6" w15:restartNumberingAfterBreak="0">
    <w:nsid w:val="2A4E3337"/>
    <w:multiLevelType w:val="hybridMultilevel"/>
    <w:tmpl w:val="FFFFFFFF"/>
    <w:lvl w:ilvl="0" w:tplc="9C38AEB2">
      <w:start w:val="1"/>
      <w:numFmt w:val="bullet"/>
      <w:lvlText w:val="·"/>
      <w:lvlJc w:val="left"/>
      <w:pPr>
        <w:ind w:left="1080" w:hanging="360"/>
      </w:pPr>
      <w:rPr>
        <w:rFonts w:ascii="Symbol" w:hAnsi="Symbol" w:hint="default"/>
      </w:rPr>
    </w:lvl>
    <w:lvl w:ilvl="1" w:tplc="7BBE9430">
      <w:start w:val="1"/>
      <w:numFmt w:val="bullet"/>
      <w:lvlText w:val="o"/>
      <w:lvlJc w:val="left"/>
      <w:pPr>
        <w:ind w:left="1800" w:hanging="360"/>
      </w:pPr>
      <w:rPr>
        <w:rFonts w:ascii="Courier New" w:hAnsi="Courier New" w:hint="default"/>
      </w:rPr>
    </w:lvl>
    <w:lvl w:ilvl="2" w:tplc="95F0A146">
      <w:start w:val="1"/>
      <w:numFmt w:val="bullet"/>
      <w:lvlText w:val=""/>
      <w:lvlJc w:val="left"/>
      <w:pPr>
        <w:ind w:left="2520" w:hanging="360"/>
      </w:pPr>
      <w:rPr>
        <w:rFonts w:ascii="Wingdings" w:hAnsi="Wingdings" w:hint="default"/>
      </w:rPr>
    </w:lvl>
    <w:lvl w:ilvl="3" w:tplc="6D32AB4E">
      <w:start w:val="1"/>
      <w:numFmt w:val="bullet"/>
      <w:lvlText w:val=""/>
      <w:lvlJc w:val="left"/>
      <w:pPr>
        <w:ind w:left="3240" w:hanging="360"/>
      </w:pPr>
      <w:rPr>
        <w:rFonts w:ascii="Symbol" w:hAnsi="Symbol" w:hint="default"/>
      </w:rPr>
    </w:lvl>
    <w:lvl w:ilvl="4" w:tplc="66C4E5DE">
      <w:start w:val="1"/>
      <w:numFmt w:val="bullet"/>
      <w:lvlText w:val="o"/>
      <w:lvlJc w:val="left"/>
      <w:pPr>
        <w:ind w:left="3960" w:hanging="360"/>
      </w:pPr>
      <w:rPr>
        <w:rFonts w:ascii="Courier New" w:hAnsi="Courier New" w:hint="default"/>
      </w:rPr>
    </w:lvl>
    <w:lvl w:ilvl="5" w:tplc="21F4E814">
      <w:start w:val="1"/>
      <w:numFmt w:val="bullet"/>
      <w:lvlText w:val=""/>
      <w:lvlJc w:val="left"/>
      <w:pPr>
        <w:ind w:left="4680" w:hanging="360"/>
      </w:pPr>
      <w:rPr>
        <w:rFonts w:ascii="Wingdings" w:hAnsi="Wingdings" w:hint="default"/>
      </w:rPr>
    </w:lvl>
    <w:lvl w:ilvl="6" w:tplc="D29E6E02">
      <w:start w:val="1"/>
      <w:numFmt w:val="bullet"/>
      <w:lvlText w:val=""/>
      <w:lvlJc w:val="left"/>
      <w:pPr>
        <w:ind w:left="5400" w:hanging="360"/>
      </w:pPr>
      <w:rPr>
        <w:rFonts w:ascii="Symbol" w:hAnsi="Symbol" w:hint="default"/>
      </w:rPr>
    </w:lvl>
    <w:lvl w:ilvl="7" w:tplc="9D540F08">
      <w:start w:val="1"/>
      <w:numFmt w:val="bullet"/>
      <w:lvlText w:val="o"/>
      <w:lvlJc w:val="left"/>
      <w:pPr>
        <w:ind w:left="6120" w:hanging="360"/>
      </w:pPr>
      <w:rPr>
        <w:rFonts w:ascii="Courier New" w:hAnsi="Courier New" w:hint="default"/>
      </w:rPr>
    </w:lvl>
    <w:lvl w:ilvl="8" w:tplc="09BE1A0E">
      <w:start w:val="1"/>
      <w:numFmt w:val="bullet"/>
      <w:lvlText w:val=""/>
      <w:lvlJc w:val="left"/>
      <w:pPr>
        <w:ind w:left="6840" w:hanging="360"/>
      </w:pPr>
      <w:rPr>
        <w:rFonts w:ascii="Wingdings" w:hAnsi="Wingdings" w:hint="default"/>
      </w:rPr>
    </w:lvl>
  </w:abstractNum>
  <w:abstractNum w:abstractNumId="7" w15:restartNumberingAfterBreak="0">
    <w:nsid w:val="2E8E3B69"/>
    <w:multiLevelType w:val="hybridMultilevel"/>
    <w:tmpl w:val="F7AC236E"/>
    <w:lvl w:ilvl="0" w:tplc="9A56574A">
      <w:start w:val="1"/>
      <w:numFmt w:val="bullet"/>
      <w:lvlText w:val="·"/>
      <w:lvlJc w:val="left"/>
      <w:pPr>
        <w:ind w:left="720" w:hanging="360"/>
      </w:pPr>
      <w:rPr>
        <w:rFonts w:ascii="Symbol" w:hAnsi="Symbol" w:hint="default"/>
      </w:rPr>
    </w:lvl>
    <w:lvl w:ilvl="1" w:tplc="4BDCAD82">
      <w:start w:val="1"/>
      <w:numFmt w:val="bullet"/>
      <w:lvlText w:val="o"/>
      <w:lvlJc w:val="left"/>
      <w:pPr>
        <w:ind w:left="1440" w:hanging="360"/>
      </w:pPr>
      <w:rPr>
        <w:rFonts w:ascii="Courier New" w:hAnsi="Courier New" w:hint="default"/>
      </w:rPr>
    </w:lvl>
    <w:lvl w:ilvl="2" w:tplc="D9F63B68">
      <w:start w:val="1"/>
      <w:numFmt w:val="bullet"/>
      <w:lvlText w:val=""/>
      <w:lvlJc w:val="left"/>
      <w:pPr>
        <w:ind w:left="2160" w:hanging="360"/>
      </w:pPr>
      <w:rPr>
        <w:rFonts w:ascii="Wingdings" w:hAnsi="Wingdings" w:hint="default"/>
      </w:rPr>
    </w:lvl>
    <w:lvl w:ilvl="3" w:tplc="5BA09276">
      <w:start w:val="1"/>
      <w:numFmt w:val="bullet"/>
      <w:lvlText w:val=""/>
      <w:lvlJc w:val="left"/>
      <w:pPr>
        <w:ind w:left="2880" w:hanging="360"/>
      </w:pPr>
      <w:rPr>
        <w:rFonts w:ascii="Symbol" w:hAnsi="Symbol" w:hint="default"/>
      </w:rPr>
    </w:lvl>
    <w:lvl w:ilvl="4" w:tplc="1C8A59C6">
      <w:start w:val="1"/>
      <w:numFmt w:val="bullet"/>
      <w:lvlText w:val="o"/>
      <w:lvlJc w:val="left"/>
      <w:pPr>
        <w:ind w:left="3600" w:hanging="360"/>
      </w:pPr>
      <w:rPr>
        <w:rFonts w:ascii="Courier New" w:hAnsi="Courier New" w:hint="default"/>
      </w:rPr>
    </w:lvl>
    <w:lvl w:ilvl="5" w:tplc="5BB0E7B8">
      <w:start w:val="1"/>
      <w:numFmt w:val="bullet"/>
      <w:lvlText w:val=""/>
      <w:lvlJc w:val="left"/>
      <w:pPr>
        <w:ind w:left="4320" w:hanging="360"/>
      </w:pPr>
      <w:rPr>
        <w:rFonts w:ascii="Wingdings" w:hAnsi="Wingdings" w:hint="default"/>
      </w:rPr>
    </w:lvl>
    <w:lvl w:ilvl="6" w:tplc="39A4C0AC">
      <w:start w:val="1"/>
      <w:numFmt w:val="bullet"/>
      <w:lvlText w:val=""/>
      <w:lvlJc w:val="left"/>
      <w:pPr>
        <w:ind w:left="5040" w:hanging="360"/>
      </w:pPr>
      <w:rPr>
        <w:rFonts w:ascii="Symbol" w:hAnsi="Symbol" w:hint="default"/>
      </w:rPr>
    </w:lvl>
    <w:lvl w:ilvl="7" w:tplc="0338EE28">
      <w:start w:val="1"/>
      <w:numFmt w:val="bullet"/>
      <w:lvlText w:val="o"/>
      <w:lvlJc w:val="left"/>
      <w:pPr>
        <w:ind w:left="5760" w:hanging="360"/>
      </w:pPr>
      <w:rPr>
        <w:rFonts w:ascii="Courier New" w:hAnsi="Courier New" w:hint="default"/>
      </w:rPr>
    </w:lvl>
    <w:lvl w:ilvl="8" w:tplc="15EA0DB2">
      <w:start w:val="1"/>
      <w:numFmt w:val="bullet"/>
      <w:lvlText w:val=""/>
      <w:lvlJc w:val="left"/>
      <w:pPr>
        <w:ind w:left="6480" w:hanging="360"/>
      </w:pPr>
      <w:rPr>
        <w:rFonts w:ascii="Wingdings" w:hAnsi="Wingdings" w:hint="default"/>
      </w:rPr>
    </w:lvl>
  </w:abstractNum>
  <w:abstractNum w:abstractNumId="8" w15:restartNumberingAfterBreak="0">
    <w:nsid w:val="38DFD254"/>
    <w:multiLevelType w:val="hybridMultilevel"/>
    <w:tmpl w:val="ADAC1B78"/>
    <w:lvl w:ilvl="0" w:tplc="4258984A">
      <w:start w:val="1"/>
      <w:numFmt w:val="bullet"/>
      <w:lvlText w:val=""/>
      <w:lvlJc w:val="left"/>
      <w:pPr>
        <w:ind w:left="720" w:hanging="360"/>
      </w:pPr>
      <w:rPr>
        <w:rFonts w:ascii="Symbol" w:hAnsi="Symbol" w:hint="default"/>
      </w:rPr>
    </w:lvl>
    <w:lvl w:ilvl="1" w:tplc="FC9EBED8">
      <w:start w:val="1"/>
      <w:numFmt w:val="bullet"/>
      <w:lvlText w:val="o"/>
      <w:lvlJc w:val="left"/>
      <w:pPr>
        <w:ind w:left="1440" w:hanging="360"/>
      </w:pPr>
      <w:rPr>
        <w:rFonts w:ascii="Courier New" w:hAnsi="Courier New" w:hint="default"/>
      </w:rPr>
    </w:lvl>
    <w:lvl w:ilvl="2" w:tplc="F3AE054A">
      <w:start w:val="1"/>
      <w:numFmt w:val="bullet"/>
      <w:lvlText w:val=""/>
      <w:lvlJc w:val="left"/>
      <w:pPr>
        <w:ind w:left="2160" w:hanging="360"/>
      </w:pPr>
      <w:rPr>
        <w:rFonts w:ascii="Wingdings" w:hAnsi="Wingdings" w:hint="default"/>
      </w:rPr>
    </w:lvl>
    <w:lvl w:ilvl="3" w:tplc="468CFEA8">
      <w:start w:val="1"/>
      <w:numFmt w:val="bullet"/>
      <w:lvlText w:val=""/>
      <w:lvlJc w:val="left"/>
      <w:pPr>
        <w:ind w:left="2880" w:hanging="360"/>
      </w:pPr>
      <w:rPr>
        <w:rFonts w:ascii="Symbol" w:hAnsi="Symbol" w:hint="default"/>
      </w:rPr>
    </w:lvl>
    <w:lvl w:ilvl="4" w:tplc="FCEEF0F8">
      <w:start w:val="1"/>
      <w:numFmt w:val="bullet"/>
      <w:lvlText w:val="o"/>
      <w:lvlJc w:val="left"/>
      <w:pPr>
        <w:ind w:left="3600" w:hanging="360"/>
      </w:pPr>
      <w:rPr>
        <w:rFonts w:ascii="Courier New" w:hAnsi="Courier New" w:hint="default"/>
      </w:rPr>
    </w:lvl>
    <w:lvl w:ilvl="5" w:tplc="DBA4B85C">
      <w:start w:val="1"/>
      <w:numFmt w:val="bullet"/>
      <w:lvlText w:val=""/>
      <w:lvlJc w:val="left"/>
      <w:pPr>
        <w:ind w:left="4320" w:hanging="360"/>
      </w:pPr>
      <w:rPr>
        <w:rFonts w:ascii="Wingdings" w:hAnsi="Wingdings" w:hint="default"/>
      </w:rPr>
    </w:lvl>
    <w:lvl w:ilvl="6" w:tplc="4C6EAB8C">
      <w:start w:val="1"/>
      <w:numFmt w:val="bullet"/>
      <w:lvlText w:val=""/>
      <w:lvlJc w:val="left"/>
      <w:pPr>
        <w:ind w:left="5040" w:hanging="360"/>
      </w:pPr>
      <w:rPr>
        <w:rFonts w:ascii="Symbol" w:hAnsi="Symbol" w:hint="default"/>
      </w:rPr>
    </w:lvl>
    <w:lvl w:ilvl="7" w:tplc="86E2FB26">
      <w:start w:val="1"/>
      <w:numFmt w:val="bullet"/>
      <w:lvlText w:val="o"/>
      <w:lvlJc w:val="left"/>
      <w:pPr>
        <w:ind w:left="5760" w:hanging="360"/>
      </w:pPr>
      <w:rPr>
        <w:rFonts w:ascii="Courier New" w:hAnsi="Courier New" w:hint="default"/>
      </w:rPr>
    </w:lvl>
    <w:lvl w:ilvl="8" w:tplc="7D4C481C">
      <w:start w:val="1"/>
      <w:numFmt w:val="bullet"/>
      <w:lvlText w:val=""/>
      <w:lvlJc w:val="left"/>
      <w:pPr>
        <w:ind w:left="6480" w:hanging="360"/>
      </w:pPr>
      <w:rPr>
        <w:rFonts w:ascii="Wingdings" w:hAnsi="Wingdings" w:hint="default"/>
      </w:rPr>
    </w:lvl>
  </w:abstractNum>
  <w:abstractNum w:abstractNumId="9" w15:restartNumberingAfterBreak="0">
    <w:nsid w:val="3974F4C4"/>
    <w:multiLevelType w:val="hybridMultilevel"/>
    <w:tmpl w:val="56E60BF4"/>
    <w:lvl w:ilvl="0" w:tplc="D0E4451E">
      <w:start w:val="1"/>
      <w:numFmt w:val="bullet"/>
      <w:lvlText w:val=""/>
      <w:lvlJc w:val="left"/>
      <w:pPr>
        <w:ind w:left="720" w:hanging="360"/>
      </w:pPr>
      <w:rPr>
        <w:rFonts w:ascii="Symbol" w:hAnsi="Symbol" w:hint="default"/>
      </w:rPr>
    </w:lvl>
    <w:lvl w:ilvl="1" w:tplc="E0BE7D42">
      <w:start w:val="1"/>
      <w:numFmt w:val="bullet"/>
      <w:lvlText w:val="o"/>
      <w:lvlJc w:val="left"/>
      <w:pPr>
        <w:ind w:left="1440" w:hanging="360"/>
      </w:pPr>
      <w:rPr>
        <w:rFonts w:ascii="Courier New" w:hAnsi="Courier New" w:hint="default"/>
      </w:rPr>
    </w:lvl>
    <w:lvl w:ilvl="2" w:tplc="F0A6A98A">
      <w:start w:val="1"/>
      <w:numFmt w:val="bullet"/>
      <w:lvlText w:val=""/>
      <w:lvlJc w:val="left"/>
      <w:pPr>
        <w:ind w:left="2160" w:hanging="360"/>
      </w:pPr>
      <w:rPr>
        <w:rFonts w:ascii="Wingdings" w:hAnsi="Wingdings" w:hint="default"/>
      </w:rPr>
    </w:lvl>
    <w:lvl w:ilvl="3" w:tplc="ACD85134">
      <w:start w:val="1"/>
      <w:numFmt w:val="bullet"/>
      <w:lvlText w:val=""/>
      <w:lvlJc w:val="left"/>
      <w:pPr>
        <w:ind w:left="2880" w:hanging="360"/>
      </w:pPr>
      <w:rPr>
        <w:rFonts w:ascii="Symbol" w:hAnsi="Symbol" w:hint="default"/>
      </w:rPr>
    </w:lvl>
    <w:lvl w:ilvl="4" w:tplc="91F02888">
      <w:start w:val="1"/>
      <w:numFmt w:val="bullet"/>
      <w:lvlText w:val="o"/>
      <w:lvlJc w:val="left"/>
      <w:pPr>
        <w:ind w:left="3600" w:hanging="360"/>
      </w:pPr>
      <w:rPr>
        <w:rFonts w:ascii="Courier New" w:hAnsi="Courier New" w:hint="default"/>
      </w:rPr>
    </w:lvl>
    <w:lvl w:ilvl="5" w:tplc="6FEC3A22">
      <w:start w:val="1"/>
      <w:numFmt w:val="bullet"/>
      <w:lvlText w:val=""/>
      <w:lvlJc w:val="left"/>
      <w:pPr>
        <w:ind w:left="4320" w:hanging="360"/>
      </w:pPr>
      <w:rPr>
        <w:rFonts w:ascii="Wingdings" w:hAnsi="Wingdings" w:hint="default"/>
      </w:rPr>
    </w:lvl>
    <w:lvl w:ilvl="6" w:tplc="78F02EC4">
      <w:start w:val="1"/>
      <w:numFmt w:val="bullet"/>
      <w:lvlText w:val=""/>
      <w:lvlJc w:val="left"/>
      <w:pPr>
        <w:ind w:left="5040" w:hanging="360"/>
      </w:pPr>
      <w:rPr>
        <w:rFonts w:ascii="Symbol" w:hAnsi="Symbol" w:hint="default"/>
      </w:rPr>
    </w:lvl>
    <w:lvl w:ilvl="7" w:tplc="95C64810">
      <w:start w:val="1"/>
      <w:numFmt w:val="bullet"/>
      <w:lvlText w:val="o"/>
      <w:lvlJc w:val="left"/>
      <w:pPr>
        <w:ind w:left="5760" w:hanging="360"/>
      </w:pPr>
      <w:rPr>
        <w:rFonts w:ascii="Courier New" w:hAnsi="Courier New" w:hint="default"/>
      </w:rPr>
    </w:lvl>
    <w:lvl w:ilvl="8" w:tplc="F3AC91BE">
      <w:start w:val="1"/>
      <w:numFmt w:val="bullet"/>
      <w:lvlText w:val=""/>
      <w:lvlJc w:val="left"/>
      <w:pPr>
        <w:ind w:left="6480" w:hanging="360"/>
      </w:pPr>
      <w:rPr>
        <w:rFonts w:ascii="Wingdings" w:hAnsi="Wingdings" w:hint="default"/>
      </w:rPr>
    </w:lvl>
  </w:abstractNum>
  <w:abstractNum w:abstractNumId="10" w15:restartNumberingAfterBreak="0">
    <w:nsid w:val="3D47D05B"/>
    <w:multiLevelType w:val="hybridMultilevel"/>
    <w:tmpl w:val="FFFFFFFF"/>
    <w:lvl w:ilvl="0" w:tplc="F3C0D16C">
      <w:start w:val="1"/>
      <w:numFmt w:val="bullet"/>
      <w:lvlText w:val="·"/>
      <w:lvlJc w:val="left"/>
      <w:pPr>
        <w:ind w:left="720" w:hanging="360"/>
      </w:pPr>
      <w:rPr>
        <w:rFonts w:ascii="Symbol" w:hAnsi="Symbol" w:hint="default"/>
      </w:rPr>
    </w:lvl>
    <w:lvl w:ilvl="1" w:tplc="BEC043DC">
      <w:start w:val="1"/>
      <w:numFmt w:val="bullet"/>
      <w:lvlText w:val="o"/>
      <w:lvlJc w:val="left"/>
      <w:pPr>
        <w:ind w:left="1440" w:hanging="360"/>
      </w:pPr>
      <w:rPr>
        <w:rFonts w:ascii="Courier New" w:hAnsi="Courier New" w:hint="default"/>
      </w:rPr>
    </w:lvl>
    <w:lvl w:ilvl="2" w:tplc="D10AF69C">
      <w:start w:val="1"/>
      <w:numFmt w:val="bullet"/>
      <w:lvlText w:val=""/>
      <w:lvlJc w:val="left"/>
      <w:pPr>
        <w:ind w:left="2160" w:hanging="360"/>
      </w:pPr>
      <w:rPr>
        <w:rFonts w:ascii="Wingdings" w:hAnsi="Wingdings" w:hint="default"/>
      </w:rPr>
    </w:lvl>
    <w:lvl w:ilvl="3" w:tplc="44AE1C5A">
      <w:start w:val="1"/>
      <w:numFmt w:val="bullet"/>
      <w:lvlText w:val=""/>
      <w:lvlJc w:val="left"/>
      <w:pPr>
        <w:ind w:left="2880" w:hanging="360"/>
      </w:pPr>
      <w:rPr>
        <w:rFonts w:ascii="Symbol" w:hAnsi="Symbol" w:hint="default"/>
      </w:rPr>
    </w:lvl>
    <w:lvl w:ilvl="4" w:tplc="00263354">
      <w:start w:val="1"/>
      <w:numFmt w:val="bullet"/>
      <w:lvlText w:val="o"/>
      <w:lvlJc w:val="left"/>
      <w:pPr>
        <w:ind w:left="3600" w:hanging="360"/>
      </w:pPr>
      <w:rPr>
        <w:rFonts w:ascii="Courier New" w:hAnsi="Courier New" w:hint="default"/>
      </w:rPr>
    </w:lvl>
    <w:lvl w:ilvl="5" w:tplc="8E78038C">
      <w:start w:val="1"/>
      <w:numFmt w:val="bullet"/>
      <w:lvlText w:val=""/>
      <w:lvlJc w:val="left"/>
      <w:pPr>
        <w:ind w:left="4320" w:hanging="360"/>
      </w:pPr>
      <w:rPr>
        <w:rFonts w:ascii="Wingdings" w:hAnsi="Wingdings" w:hint="default"/>
      </w:rPr>
    </w:lvl>
    <w:lvl w:ilvl="6" w:tplc="5CD4C7EC">
      <w:start w:val="1"/>
      <w:numFmt w:val="bullet"/>
      <w:lvlText w:val=""/>
      <w:lvlJc w:val="left"/>
      <w:pPr>
        <w:ind w:left="5040" w:hanging="360"/>
      </w:pPr>
      <w:rPr>
        <w:rFonts w:ascii="Symbol" w:hAnsi="Symbol" w:hint="default"/>
      </w:rPr>
    </w:lvl>
    <w:lvl w:ilvl="7" w:tplc="42B2F1BA">
      <w:start w:val="1"/>
      <w:numFmt w:val="bullet"/>
      <w:lvlText w:val="o"/>
      <w:lvlJc w:val="left"/>
      <w:pPr>
        <w:ind w:left="5760" w:hanging="360"/>
      </w:pPr>
      <w:rPr>
        <w:rFonts w:ascii="Courier New" w:hAnsi="Courier New" w:hint="default"/>
      </w:rPr>
    </w:lvl>
    <w:lvl w:ilvl="8" w:tplc="30245E6A">
      <w:start w:val="1"/>
      <w:numFmt w:val="bullet"/>
      <w:lvlText w:val=""/>
      <w:lvlJc w:val="left"/>
      <w:pPr>
        <w:ind w:left="6480" w:hanging="360"/>
      </w:pPr>
      <w:rPr>
        <w:rFonts w:ascii="Wingdings" w:hAnsi="Wingdings" w:hint="default"/>
      </w:rPr>
    </w:lvl>
  </w:abstractNum>
  <w:abstractNum w:abstractNumId="11" w15:restartNumberingAfterBreak="0">
    <w:nsid w:val="3D69314A"/>
    <w:multiLevelType w:val="hybridMultilevel"/>
    <w:tmpl w:val="287ED47A"/>
    <w:lvl w:ilvl="0" w:tplc="D84C88F6">
      <w:start w:val="1"/>
      <w:numFmt w:val="bullet"/>
      <w:lvlText w:val="·"/>
      <w:lvlJc w:val="left"/>
      <w:pPr>
        <w:ind w:left="720" w:hanging="360"/>
      </w:pPr>
      <w:rPr>
        <w:rFonts w:ascii="Symbol" w:hAnsi="Symbol" w:hint="default"/>
      </w:rPr>
    </w:lvl>
    <w:lvl w:ilvl="1" w:tplc="E7FE975A">
      <w:start w:val="1"/>
      <w:numFmt w:val="bullet"/>
      <w:lvlText w:val="o"/>
      <w:lvlJc w:val="left"/>
      <w:pPr>
        <w:ind w:left="1440" w:hanging="360"/>
      </w:pPr>
      <w:rPr>
        <w:rFonts w:ascii="Courier New" w:hAnsi="Courier New" w:hint="default"/>
      </w:rPr>
    </w:lvl>
    <w:lvl w:ilvl="2" w:tplc="C8B210B6">
      <w:start w:val="1"/>
      <w:numFmt w:val="bullet"/>
      <w:lvlText w:val=""/>
      <w:lvlJc w:val="left"/>
      <w:pPr>
        <w:ind w:left="2160" w:hanging="360"/>
      </w:pPr>
      <w:rPr>
        <w:rFonts w:ascii="Wingdings" w:hAnsi="Wingdings" w:hint="default"/>
      </w:rPr>
    </w:lvl>
    <w:lvl w:ilvl="3" w:tplc="64D80E7C">
      <w:start w:val="1"/>
      <w:numFmt w:val="bullet"/>
      <w:lvlText w:val=""/>
      <w:lvlJc w:val="left"/>
      <w:pPr>
        <w:ind w:left="2880" w:hanging="360"/>
      </w:pPr>
      <w:rPr>
        <w:rFonts w:ascii="Symbol" w:hAnsi="Symbol" w:hint="default"/>
      </w:rPr>
    </w:lvl>
    <w:lvl w:ilvl="4" w:tplc="EE64167C">
      <w:start w:val="1"/>
      <w:numFmt w:val="bullet"/>
      <w:lvlText w:val="o"/>
      <w:lvlJc w:val="left"/>
      <w:pPr>
        <w:ind w:left="3600" w:hanging="360"/>
      </w:pPr>
      <w:rPr>
        <w:rFonts w:ascii="Courier New" w:hAnsi="Courier New" w:hint="default"/>
      </w:rPr>
    </w:lvl>
    <w:lvl w:ilvl="5" w:tplc="1B9EEEE2">
      <w:start w:val="1"/>
      <w:numFmt w:val="bullet"/>
      <w:lvlText w:val=""/>
      <w:lvlJc w:val="left"/>
      <w:pPr>
        <w:ind w:left="4320" w:hanging="360"/>
      </w:pPr>
      <w:rPr>
        <w:rFonts w:ascii="Wingdings" w:hAnsi="Wingdings" w:hint="default"/>
      </w:rPr>
    </w:lvl>
    <w:lvl w:ilvl="6" w:tplc="08A025BC">
      <w:start w:val="1"/>
      <w:numFmt w:val="bullet"/>
      <w:lvlText w:val=""/>
      <w:lvlJc w:val="left"/>
      <w:pPr>
        <w:ind w:left="5040" w:hanging="360"/>
      </w:pPr>
      <w:rPr>
        <w:rFonts w:ascii="Symbol" w:hAnsi="Symbol" w:hint="default"/>
      </w:rPr>
    </w:lvl>
    <w:lvl w:ilvl="7" w:tplc="20584A0A">
      <w:start w:val="1"/>
      <w:numFmt w:val="bullet"/>
      <w:lvlText w:val="o"/>
      <w:lvlJc w:val="left"/>
      <w:pPr>
        <w:ind w:left="5760" w:hanging="360"/>
      </w:pPr>
      <w:rPr>
        <w:rFonts w:ascii="Courier New" w:hAnsi="Courier New" w:hint="default"/>
      </w:rPr>
    </w:lvl>
    <w:lvl w:ilvl="8" w:tplc="C8225F26">
      <w:start w:val="1"/>
      <w:numFmt w:val="bullet"/>
      <w:lvlText w:val=""/>
      <w:lvlJc w:val="left"/>
      <w:pPr>
        <w:ind w:left="6480" w:hanging="360"/>
      </w:pPr>
      <w:rPr>
        <w:rFonts w:ascii="Wingdings" w:hAnsi="Wingdings" w:hint="default"/>
      </w:rPr>
    </w:lvl>
  </w:abstractNum>
  <w:abstractNum w:abstractNumId="12" w15:restartNumberingAfterBreak="0">
    <w:nsid w:val="41229A14"/>
    <w:multiLevelType w:val="hybridMultilevel"/>
    <w:tmpl w:val="FFFFFFFF"/>
    <w:lvl w:ilvl="0" w:tplc="571C57B2">
      <w:start w:val="1"/>
      <w:numFmt w:val="bullet"/>
      <w:lvlText w:val=""/>
      <w:lvlJc w:val="left"/>
      <w:pPr>
        <w:ind w:left="720" w:hanging="360"/>
      </w:pPr>
      <w:rPr>
        <w:rFonts w:ascii="Symbol" w:hAnsi="Symbol" w:hint="default"/>
      </w:rPr>
    </w:lvl>
    <w:lvl w:ilvl="1" w:tplc="BFE67210">
      <w:start w:val="1"/>
      <w:numFmt w:val="bullet"/>
      <w:lvlText w:val="o"/>
      <w:lvlJc w:val="left"/>
      <w:pPr>
        <w:ind w:left="1440" w:hanging="360"/>
      </w:pPr>
      <w:rPr>
        <w:rFonts w:ascii="Courier New" w:hAnsi="Courier New" w:hint="default"/>
      </w:rPr>
    </w:lvl>
    <w:lvl w:ilvl="2" w:tplc="3F2A9390">
      <w:start w:val="1"/>
      <w:numFmt w:val="bullet"/>
      <w:lvlText w:val=""/>
      <w:lvlJc w:val="left"/>
      <w:pPr>
        <w:ind w:left="2160" w:hanging="360"/>
      </w:pPr>
      <w:rPr>
        <w:rFonts w:ascii="Wingdings" w:hAnsi="Wingdings" w:hint="default"/>
      </w:rPr>
    </w:lvl>
    <w:lvl w:ilvl="3" w:tplc="847041EA">
      <w:start w:val="1"/>
      <w:numFmt w:val="bullet"/>
      <w:lvlText w:val=""/>
      <w:lvlJc w:val="left"/>
      <w:pPr>
        <w:ind w:left="2880" w:hanging="360"/>
      </w:pPr>
      <w:rPr>
        <w:rFonts w:ascii="Symbol" w:hAnsi="Symbol" w:hint="default"/>
      </w:rPr>
    </w:lvl>
    <w:lvl w:ilvl="4" w:tplc="35182F50">
      <w:start w:val="1"/>
      <w:numFmt w:val="bullet"/>
      <w:lvlText w:val="o"/>
      <w:lvlJc w:val="left"/>
      <w:pPr>
        <w:ind w:left="3600" w:hanging="360"/>
      </w:pPr>
      <w:rPr>
        <w:rFonts w:ascii="Courier New" w:hAnsi="Courier New" w:hint="default"/>
      </w:rPr>
    </w:lvl>
    <w:lvl w:ilvl="5" w:tplc="61EE572E">
      <w:start w:val="1"/>
      <w:numFmt w:val="bullet"/>
      <w:lvlText w:val=""/>
      <w:lvlJc w:val="left"/>
      <w:pPr>
        <w:ind w:left="4320" w:hanging="360"/>
      </w:pPr>
      <w:rPr>
        <w:rFonts w:ascii="Wingdings" w:hAnsi="Wingdings" w:hint="default"/>
      </w:rPr>
    </w:lvl>
    <w:lvl w:ilvl="6" w:tplc="02DC1AFA">
      <w:start w:val="1"/>
      <w:numFmt w:val="bullet"/>
      <w:lvlText w:val=""/>
      <w:lvlJc w:val="left"/>
      <w:pPr>
        <w:ind w:left="5040" w:hanging="360"/>
      </w:pPr>
      <w:rPr>
        <w:rFonts w:ascii="Symbol" w:hAnsi="Symbol" w:hint="default"/>
      </w:rPr>
    </w:lvl>
    <w:lvl w:ilvl="7" w:tplc="37EA8404">
      <w:start w:val="1"/>
      <w:numFmt w:val="bullet"/>
      <w:lvlText w:val="o"/>
      <w:lvlJc w:val="left"/>
      <w:pPr>
        <w:ind w:left="5760" w:hanging="360"/>
      </w:pPr>
      <w:rPr>
        <w:rFonts w:ascii="Courier New" w:hAnsi="Courier New" w:hint="default"/>
      </w:rPr>
    </w:lvl>
    <w:lvl w:ilvl="8" w:tplc="1742C54E">
      <w:start w:val="1"/>
      <w:numFmt w:val="bullet"/>
      <w:lvlText w:val=""/>
      <w:lvlJc w:val="left"/>
      <w:pPr>
        <w:ind w:left="6480" w:hanging="360"/>
      </w:pPr>
      <w:rPr>
        <w:rFonts w:ascii="Wingdings" w:hAnsi="Wingdings" w:hint="default"/>
      </w:rPr>
    </w:lvl>
  </w:abstractNum>
  <w:abstractNum w:abstractNumId="13" w15:restartNumberingAfterBreak="0">
    <w:nsid w:val="516C69CC"/>
    <w:multiLevelType w:val="multilevel"/>
    <w:tmpl w:val="ECBEFBF8"/>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3899008"/>
    <w:multiLevelType w:val="hybridMultilevel"/>
    <w:tmpl w:val="54141B84"/>
    <w:lvl w:ilvl="0" w:tplc="DAE4E908">
      <w:start w:val="1"/>
      <w:numFmt w:val="bullet"/>
      <w:lvlText w:val="-"/>
      <w:lvlJc w:val="left"/>
      <w:pPr>
        <w:ind w:left="720" w:hanging="360"/>
      </w:pPr>
      <w:rPr>
        <w:rFonts w:ascii="Aptos" w:hAnsi="Aptos" w:hint="default"/>
      </w:rPr>
    </w:lvl>
    <w:lvl w:ilvl="1" w:tplc="5F92DA1C">
      <w:start w:val="1"/>
      <w:numFmt w:val="bullet"/>
      <w:lvlText w:val="o"/>
      <w:lvlJc w:val="left"/>
      <w:pPr>
        <w:ind w:left="1440" w:hanging="360"/>
      </w:pPr>
      <w:rPr>
        <w:rFonts w:ascii="Courier New" w:hAnsi="Courier New" w:hint="default"/>
      </w:rPr>
    </w:lvl>
    <w:lvl w:ilvl="2" w:tplc="0FE0755E">
      <w:start w:val="1"/>
      <w:numFmt w:val="bullet"/>
      <w:lvlText w:val=""/>
      <w:lvlJc w:val="left"/>
      <w:pPr>
        <w:ind w:left="2160" w:hanging="360"/>
      </w:pPr>
      <w:rPr>
        <w:rFonts w:ascii="Wingdings" w:hAnsi="Wingdings" w:hint="default"/>
      </w:rPr>
    </w:lvl>
    <w:lvl w:ilvl="3" w:tplc="073612BC">
      <w:start w:val="1"/>
      <w:numFmt w:val="bullet"/>
      <w:lvlText w:val=""/>
      <w:lvlJc w:val="left"/>
      <w:pPr>
        <w:ind w:left="2880" w:hanging="360"/>
      </w:pPr>
      <w:rPr>
        <w:rFonts w:ascii="Symbol" w:hAnsi="Symbol" w:hint="default"/>
      </w:rPr>
    </w:lvl>
    <w:lvl w:ilvl="4" w:tplc="27BCC9C0">
      <w:start w:val="1"/>
      <w:numFmt w:val="bullet"/>
      <w:lvlText w:val="o"/>
      <w:lvlJc w:val="left"/>
      <w:pPr>
        <w:ind w:left="3600" w:hanging="360"/>
      </w:pPr>
      <w:rPr>
        <w:rFonts w:ascii="Courier New" w:hAnsi="Courier New" w:hint="default"/>
      </w:rPr>
    </w:lvl>
    <w:lvl w:ilvl="5" w:tplc="82F0AA3C">
      <w:start w:val="1"/>
      <w:numFmt w:val="bullet"/>
      <w:lvlText w:val=""/>
      <w:lvlJc w:val="left"/>
      <w:pPr>
        <w:ind w:left="4320" w:hanging="360"/>
      </w:pPr>
      <w:rPr>
        <w:rFonts w:ascii="Wingdings" w:hAnsi="Wingdings" w:hint="default"/>
      </w:rPr>
    </w:lvl>
    <w:lvl w:ilvl="6" w:tplc="2A5C71C2">
      <w:start w:val="1"/>
      <w:numFmt w:val="bullet"/>
      <w:lvlText w:val=""/>
      <w:lvlJc w:val="left"/>
      <w:pPr>
        <w:ind w:left="5040" w:hanging="360"/>
      </w:pPr>
      <w:rPr>
        <w:rFonts w:ascii="Symbol" w:hAnsi="Symbol" w:hint="default"/>
      </w:rPr>
    </w:lvl>
    <w:lvl w:ilvl="7" w:tplc="BCB27B54">
      <w:start w:val="1"/>
      <w:numFmt w:val="bullet"/>
      <w:lvlText w:val="o"/>
      <w:lvlJc w:val="left"/>
      <w:pPr>
        <w:ind w:left="5760" w:hanging="360"/>
      </w:pPr>
      <w:rPr>
        <w:rFonts w:ascii="Courier New" w:hAnsi="Courier New" w:hint="default"/>
      </w:rPr>
    </w:lvl>
    <w:lvl w:ilvl="8" w:tplc="D040E022">
      <w:start w:val="1"/>
      <w:numFmt w:val="bullet"/>
      <w:lvlText w:val=""/>
      <w:lvlJc w:val="left"/>
      <w:pPr>
        <w:ind w:left="6480" w:hanging="360"/>
      </w:pPr>
      <w:rPr>
        <w:rFonts w:ascii="Wingdings" w:hAnsi="Wingdings" w:hint="default"/>
      </w:rPr>
    </w:lvl>
  </w:abstractNum>
  <w:abstractNum w:abstractNumId="15" w15:restartNumberingAfterBreak="0">
    <w:nsid w:val="57D02178"/>
    <w:multiLevelType w:val="hybridMultilevel"/>
    <w:tmpl w:val="6A5E23B0"/>
    <w:lvl w:ilvl="0" w:tplc="724C2D22">
      <w:start w:val="1"/>
      <w:numFmt w:val="lowerLetter"/>
      <w:lvlText w:val="b)"/>
      <w:lvlJc w:val="left"/>
      <w:pPr>
        <w:ind w:left="720" w:hanging="360"/>
      </w:pPr>
    </w:lvl>
    <w:lvl w:ilvl="1" w:tplc="BD445476">
      <w:start w:val="1"/>
      <w:numFmt w:val="lowerLetter"/>
      <w:lvlText w:val="%2."/>
      <w:lvlJc w:val="left"/>
      <w:pPr>
        <w:ind w:left="1440" w:hanging="360"/>
      </w:pPr>
    </w:lvl>
    <w:lvl w:ilvl="2" w:tplc="9FC6F81E">
      <w:start w:val="1"/>
      <w:numFmt w:val="lowerRoman"/>
      <w:lvlText w:val="%3."/>
      <w:lvlJc w:val="right"/>
      <w:pPr>
        <w:ind w:left="2160" w:hanging="180"/>
      </w:pPr>
    </w:lvl>
    <w:lvl w:ilvl="3" w:tplc="2DC8D296">
      <w:start w:val="1"/>
      <w:numFmt w:val="decimal"/>
      <w:lvlText w:val="%4."/>
      <w:lvlJc w:val="left"/>
      <w:pPr>
        <w:ind w:left="2880" w:hanging="360"/>
      </w:pPr>
    </w:lvl>
    <w:lvl w:ilvl="4" w:tplc="67EC2A96">
      <w:start w:val="1"/>
      <w:numFmt w:val="lowerLetter"/>
      <w:lvlText w:val="%5."/>
      <w:lvlJc w:val="left"/>
      <w:pPr>
        <w:ind w:left="3600" w:hanging="360"/>
      </w:pPr>
    </w:lvl>
    <w:lvl w:ilvl="5" w:tplc="2664304A">
      <w:start w:val="1"/>
      <w:numFmt w:val="lowerRoman"/>
      <w:lvlText w:val="%6."/>
      <w:lvlJc w:val="right"/>
      <w:pPr>
        <w:ind w:left="4320" w:hanging="180"/>
      </w:pPr>
    </w:lvl>
    <w:lvl w:ilvl="6" w:tplc="E81C3256">
      <w:start w:val="1"/>
      <w:numFmt w:val="decimal"/>
      <w:lvlText w:val="%7."/>
      <w:lvlJc w:val="left"/>
      <w:pPr>
        <w:ind w:left="5040" w:hanging="360"/>
      </w:pPr>
    </w:lvl>
    <w:lvl w:ilvl="7" w:tplc="5BBA6D22">
      <w:start w:val="1"/>
      <w:numFmt w:val="lowerLetter"/>
      <w:lvlText w:val="%8."/>
      <w:lvlJc w:val="left"/>
      <w:pPr>
        <w:ind w:left="5760" w:hanging="360"/>
      </w:pPr>
    </w:lvl>
    <w:lvl w:ilvl="8" w:tplc="2C9A8564">
      <w:start w:val="1"/>
      <w:numFmt w:val="lowerRoman"/>
      <w:lvlText w:val="%9."/>
      <w:lvlJc w:val="right"/>
      <w:pPr>
        <w:ind w:left="6480" w:hanging="180"/>
      </w:pPr>
    </w:lvl>
  </w:abstractNum>
  <w:abstractNum w:abstractNumId="16" w15:restartNumberingAfterBreak="0">
    <w:nsid w:val="612316F0"/>
    <w:multiLevelType w:val="hybridMultilevel"/>
    <w:tmpl w:val="3D625C78"/>
    <w:lvl w:ilvl="0" w:tplc="55F2B956">
      <w:start w:val="1"/>
      <w:numFmt w:val="bullet"/>
      <w:lvlText w:val=""/>
      <w:lvlJc w:val="left"/>
      <w:pPr>
        <w:ind w:left="360" w:hanging="360"/>
      </w:pPr>
      <w:rPr>
        <w:rFonts w:ascii="Symbol" w:hAnsi="Symbol" w:hint="default"/>
      </w:rPr>
    </w:lvl>
    <w:lvl w:ilvl="1" w:tplc="CC8E1310">
      <w:start w:val="1"/>
      <w:numFmt w:val="bullet"/>
      <w:lvlText w:val="o"/>
      <w:lvlJc w:val="left"/>
      <w:pPr>
        <w:ind w:left="1080" w:hanging="360"/>
      </w:pPr>
      <w:rPr>
        <w:rFonts w:ascii="Courier New" w:hAnsi="Courier New" w:hint="default"/>
      </w:rPr>
    </w:lvl>
    <w:lvl w:ilvl="2" w:tplc="C0843DB2">
      <w:start w:val="1"/>
      <w:numFmt w:val="bullet"/>
      <w:lvlText w:val=""/>
      <w:lvlJc w:val="left"/>
      <w:pPr>
        <w:ind w:left="1800" w:hanging="360"/>
      </w:pPr>
      <w:rPr>
        <w:rFonts w:ascii="Wingdings" w:hAnsi="Wingdings" w:hint="default"/>
      </w:rPr>
    </w:lvl>
    <w:lvl w:ilvl="3" w:tplc="29F2A1F0">
      <w:start w:val="1"/>
      <w:numFmt w:val="bullet"/>
      <w:lvlText w:val=""/>
      <w:lvlJc w:val="left"/>
      <w:pPr>
        <w:ind w:left="2520" w:hanging="360"/>
      </w:pPr>
      <w:rPr>
        <w:rFonts w:ascii="Symbol" w:hAnsi="Symbol" w:hint="default"/>
      </w:rPr>
    </w:lvl>
    <w:lvl w:ilvl="4" w:tplc="1A7C4D7E">
      <w:start w:val="1"/>
      <w:numFmt w:val="bullet"/>
      <w:lvlText w:val="o"/>
      <w:lvlJc w:val="left"/>
      <w:pPr>
        <w:ind w:left="3240" w:hanging="360"/>
      </w:pPr>
      <w:rPr>
        <w:rFonts w:ascii="Courier New" w:hAnsi="Courier New" w:hint="default"/>
      </w:rPr>
    </w:lvl>
    <w:lvl w:ilvl="5" w:tplc="523086CC">
      <w:start w:val="1"/>
      <w:numFmt w:val="bullet"/>
      <w:lvlText w:val=""/>
      <w:lvlJc w:val="left"/>
      <w:pPr>
        <w:ind w:left="3960" w:hanging="360"/>
      </w:pPr>
      <w:rPr>
        <w:rFonts w:ascii="Wingdings" w:hAnsi="Wingdings" w:hint="default"/>
      </w:rPr>
    </w:lvl>
    <w:lvl w:ilvl="6" w:tplc="AFACDEDA">
      <w:start w:val="1"/>
      <w:numFmt w:val="bullet"/>
      <w:lvlText w:val=""/>
      <w:lvlJc w:val="left"/>
      <w:pPr>
        <w:ind w:left="4680" w:hanging="360"/>
      </w:pPr>
      <w:rPr>
        <w:rFonts w:ascii="Symbol" w:hAnsi="Symbol" w:hint="default"/>
      </w:rPr>
    </w:lvl>
    <w:lvl w:ilvl="7" w:tplc="E7E284CE">
      <w:start w:val="1"/>
      <w:numFmt w:val="bullet"/>
      <w:lvlText w:val="o"/>
      <w:lvlJc w:val="left"/>
      <w:pPr>
        <w:ind w:left="5400" w:hanging="360"/>
      </w:pPr>
      <w:rPr>
        <w:rFonts w:ascii="Courier New" w:hAnsi="Courier New" w:hint="default"/>
      </w:rPr>
    </w:lvl>
    <w:lvl w:ilvl="8" w:tplc="55D40D06">
      <w:start w:val="1"/>
      <w:numFmt w:val="bullet"/>
      <w:lvlText w:val=""/>
      <w:lvlJc w:val="left"/>
      <w:pPr>
        <w:ind w:left="6120" w:hanging="360"/>
      </w:pPr>
      <w:rPr>
        <w:rFonts w:ascii="Wingdings" w:hAnsi="Wingdings" w:hint="default"/>
      </w:rPr>
    </w:lvl>
  </w:abstractNum>
  <w:abstractNum w:abstractNumId="17" w15:restartNumberingAfterBreak="0">
    <w:nsid w:val="65595AF3"/>
    <w:multiLevelType w:val="multilevel"/>
    <w:tmpl w:val="DBF26A24"/>
    <w:lvl w:ilvl="0">
      <w:start w:val="1"/>
      <w:numFmt w:val="bullet"/>
      <w:lvlText w:val="●"/>
      <w:lvlJc w:val="left"/>
      <w:pPr>
        <w:ind w:left="720" w:hanging="360"/>
      </w:pPr>
      <w:rPr>
        <w:color w:val="000000"/>
        <w:sz w:val="20"/>
        <w:szCs w:val="20"/>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5B8F7B4"/>
    <w:multiLevelType w:val="hybridMultilevel"/>
    <w:tmpl w:val="43349E56"/>
    <w:lvl w:ilvl="0" w:tplc="E70A2A4E">
      <w:start w:val="1"/>
      <w:numFmt w:val="bullet"/>
      <w:lvlText w:val="·"/>
      <w:lvlJc w:val="left"/>
      <w:pPr>
        <w:ind w:left="720" w:hanging="360"/>
      </w:pPr>
      <w:rPr>
        <w:rFonts w:ascii="Symbol" w:hAnsi="Symbol" w:hint="default"/>
      </w:rPr>
    </w:lvl>
    <w:lvl w:ilvl="1" w:tplc="6C1E4A54">
      <w:start w:val="1"/>
      <w:numFmt w:val="bullet"/>
      <w:lvlText w:val="o"/>
      <w:lvlJc w:val="left"/>
      <w:pPr>
        <w:ind w:left="1440" w:hanging="360"/>
      </w:pPr>
      <w:rPr>
        <w:rFonts w:ascii="Courier New" w:hAnsi="Courier New" w:hint="default"/>
      </w:rPr>
    </w:lvl>
    <w:lvl w:ilvl="2" w:tplc="C614A436">
      <w:start w:val="1"/>
      <w:numFmt w:val="bullet"/>
      <w:lvlText w:val=""/>
      <w:lvlJc w:val="left"/>
      <w:pPr>
        <w:ind w:left="2160" w:hanging="360"/>
      </w:pPr>
      <w:rPr>
        <w:rFonts w:ascii="Wingdings" w:hAnsi="Wingdings" w:hint="default"/>
      </w:rPr>
    </w:lvl>
    <w:lvl w:ilvl="3" w:tplc="457C0C64">
      <w:start w:val="1"/>
      <w:numFmt w:val="bullet"/>
      <w:lvlText w:val=""/>
      <w:lvlJc w:val="left"/>
      <w:pPr>
        <w:ind w:left="2880" w:hanging="360"/>
      </w:pPr>
      <w:rPr>
        <w:rFonts w:ascii="Symbol" w:hAnsi="Symbol" w:hint="default"/>
      </w:rPr>
    </w:lvl>
    <w:lvl w:ilvl="4" w:tplc="939ADF1A">
      <w:start w:val="1"/>
      <w:numFmt w:val="bullet"/>
      <w:lvlText w:val="o"/>
      <w:lvlJc w:val="left"/>
      <w:pPr>
        <w:ind w:left="3600" w:hanging="360"/>
      </w:pPr>
      <w:rPr>
        <w:rFonts w:ascii="Courier New" w:hAnsi="Courier New" w:hint="default"/>
      </w:rPr>
    </w:lvl>
    <w:lvl w:ilvl="5" w:tplc="7BFA8D4C">
      <w:start w:val="1"/>
      <w:numFmt w:val="bullet"/>
      <w:lvlText w:val=""/>
      <w:lvlJc w:val="left"/>
      <w:pPr>
        <w:ind w:left="4320" w:hanging="360"/>
      </w:pPr>
      <w:rPr>
        <w:rFonts w:ascii="Wingdings" w:hAnsi="Wingdings" w:hint="default"/>
      </w:rPr>
    </w:lvl>
    <w:lvl w:ilvl="6" w:tplc="3850B458">
      <w:start w:val="1"/>
      <w:numFmt w:val="bullet"/>
      <w:lvlText w:val=""/>
      <w:lvlJc w:val="left"/>
      <w:pPr>
        <w:ind w:left="5040" w:hanging="360"/>
      </w:pPr>
      <w:rPr>
        <w:rFonts w:ascii="Symbol" w:hAnsi="Symbol" w:hint="default"/>
      </w:rPr>
    </w:lvl>
    <w:lvl w:ilvl="7" w:tplc="2960CA80">
      <w:start w:val="1"/>
      <w:numFmt w:val="bullet"/>
      <w:lvlText w:val="o"/>
      <w:lvlJc w:val="left"/>
      <w:pPr>
        <w:ind w:left="5760" w:hanging="360"/>
      </w:pPr>
      <w:rPr>
        <w:rFonts w:ascii="Courier New" w:hAnsi="Courier New" w:hint="default"/>
      </w:rPr>
    </w:lvl>
    <w:lvl w:ilvl="8" w:tplc="2E2010B6">
      <w:start w:val="1"/>
      <w:numFmt w:val="bullet"/>
      <w:lvlText w:val=""/>
      <w:lvlJc w:val="left"/>
      <w:pPr>
        <w:ind w:left="6480" w:hanging="360"/>
      </w:pPr>
      <w:rPr>
        <w:rFonts w:ascii="Wingdings" w:hAnsi="Wingdings" w:hint="default"/>
      </w:rPr>
    </w:lvl>
  </w:abstractNum>
  <w:num w:numId="1" w16cid:durableId="927544175">
    <w:abstractNumId w:val="13"/>
  </w:num>
  <w:num w:numId="2" w16cid:durableId="1503279093">
    <w:abstractNumId w:val="17"/>
  </w:num>
  <w:num w:numId="3" w16cid:durableId="1316648446">
    <w:abstractNumId w:val="7"/>
  </w:num>
  <w:num w:numId="4" w16cid:durableId="416095928">
    <w:abstractNumId w:val="1"/>
  </w:num>
  <w:num w:numId="5" w16cid:durableId="1566138970">
    <w:abstractNumId w:val="0"/>
  </w:num>
  <w:num w:numId="6" w16cid:durableId="977804480">
    <w:abstractNumId w:val="12"/>
  </w:num>
  <w:num w:numId="7" w16cid:durableId="2019696350">
    <w:abstractNumId w:val="3"/>
  </w:num>
  <w:num w:numId="8" w16cid:durableId="1390225052">
    <w:abstractNumId w:val="2"/>
  </w:num>
  <w:num w:numId="9" w16cid:durableId="763576181">
    <w:abstractNumId w:val="10"/>
  </w:num>
  <w:num w:numId="10" w16cid:durableId="1955481894">
    <w:abstractNumId w:val="6"/>
  </w:num>
  <w:num w:numId="11" w16cid:durableId="25183135">
    <w:abstractNumId w:val="5"/>
  </w:num>
  <w:num w:numId="12" w16cid:durableId="362905311">
    <w:abstractNumId w:val="18"/>
  </w:num>
  <w:num w:numId="13" w16cid:durableId="1338726937">
    <w:abstractNumId w:val="15"/>
  </w:num>
  <w:num w:numId="14" w16cid:durableId="1897931487">
    <w:abstractNumId w:val="4"/>
  </w:num>
  <w:num w:numId="15" w16cid:durableId="668093368">
    <w:abstractNumId w:val="11"/>
  </w:num>
  <w:num w:numId="16" w16cid:durableId="2097745881">
    <w:abstractNumId w:val="9"/>
  </w:num>
  <w:num w:numId="17" w16cid:durableId="527181358">
    <w:abstractNumId w:val="8"/>
  </w:num>
  <w:num w:numId="18" w16cid:durableId="1255284388">
    <w:abstractNumId w:val="14"/>
  </w:num>
  <w:num w:numId="19" w16cid:durableId="1700857380">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A91"/>
    <w:rsid w:val="000F5E9C"/>
    <w:rsid w:val="00395EA8"/>
    <w:rsid w:val="00606ACB"/>
    <w:rsid w:val="00682E50"/>
    <w:rsid w:val="007A4A91"/>
    <w:rsid w:val="00C515BB"/>
    <w:rsid w:val="00CBAE00"/>
    <w:rsid w:val="00D05B18"/>
    <w:rsid w:val="00E36C6F"/>
    <w:rsid w:val="00FC1AA5"/>
    <w:rsid w:val="00FC639F"/>
    <w:rsid w:val="0370482D"/>
    <w:rsid w:val="06AAE431"/>
    <w:rsid w:val="07F3C68A"/>
    <w:rsid w:val="0A625B5B"/>
    <w:rsid w:val="0ACAC8AC"/>
    <w:rsid w:val="0C4EF09B"/>
    <w:rsid w:val="1102E44A"/>
    <w:rsid w:val="11F8167A"/>
    <w:rsid w:val="14F83D35"/>
    <w:rsid w:val="15D85B19"/>
    <w:rsid w:val="164385D1"/>
    <w:rsid w:val="1C78D00D"/>
    <w:rsid w:val="1D1C0E65"/>
    <w:rsid w:val="1D9EE6B9"/>
    <w:rsid w:val="200A4641"/>
    <w:rsid w:val="221ABD69"/>
    <w:rsid w:val="237A16F5"/>
    <w:rsid w:val="25A30E0F"/>
    <w:rsid w:val="2AD4FA72"/>
    <w:rsid w:val="2F3849DC"/>
    <w:rsid w:val="2FB50903"/>
    <w:rsid w:val="305BD414"/>
    <w:rsid w:val="36387DDB"/>
    <w:rsid w:val="395D2BF2"/>
    <w:rsid w:val="3EBF7CFE"/>
    <w:rsid w:val="4318241D"/>
    <w:rsid w:val="4C2E6DDD"/>
    <w:rsid w:val="4CEEC452"/>
    <w:rsid w:val="5041F490"/>
    <w:rsid w:val="5328F5DF"/>
    <w:rsid w:val="533DCDDD"/>
    <w:rsid w:val="5403C073"/>
    <w:rsid w:val="56DA3DDA"/>
    <w:rsid w:val="611F4E03"/>
    <w:rsid w:val="61EE67E2"/>
    <w:rsid w:val="672BDB8D"/>
    <w:rsid w:val="698A71E8"/>
    <w:rsid w:val="71EF62EA"/>
    <w:rsid w:val="72C92E0B"/>
    <w:rsid w:val="73356980"/>
    <w:rsid w:val="756F8BE4"/>
    <w:rsid w:val="792714CA"/>
    <w:rsid w:val="7F2E7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53B478"/>
  <w15:docId w15:val="{76573B5B-35E2-214F-A712-E35A0190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hd w:val="clear" w:color="auto" w:fill="FFFFFF"/>
      <w:spacing w:line="240" w:lineRule="auto"/>
      <w:outlineLvl w:val="0"/>
    </w:pPr>
    <w:rPr>
      <w:rFonts w:ascii="Twentieth Century" w:eastAsia="Twentieth Century" w:hAnsi="Twentieth Century" w:cs="Twentieth Century"/>
      <w:b/>
      <w:bCs/>
      <w:sz w:val="24"/>
      <w:szCs w:val="24"/>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06ACB"/>
    <w:pPr>
      <w:tabs>
        <w:tab w:val="center" w:pos="4680"/>
        <w:tab w:val="right" w:pos="9360"/>
      </w:tabs>
      <w:spacing w:line="240" w:lineRule="auto"/>
    </w:pPr>
  </w:style>
  <w:style w:type="character" w:customStyle="1" w:styleId="HeaderChar">
    <w:name w:val="Header Char"/>
    <w:basedOn w:val="DefaultParagraphFont"/>
    <w:link w:val="Header"/>
    <w:uiPriority w:val="99"/>
    <w:rsid w:val="00606ACB"/>
  </w:style>
  <w:style w:type="paragraph" w:styleId="Footer">
    <w:name w:val="footer"/>
    <w:basedOn w:val="Normal"/>
    <w:link w:val="FooterChar"/>
    <w:uiPriority w:val="99"/>
    <w:unhideWhenUsed/>
    <w:rsid w:val="00606ACB"/>
    <w:pPr>
      <w:tabs>
        <w:tab w:val="center" w:pos="4680"/>
        <w:tab w:val="right" w:pos="9360"/>
      </w:tabs>
      <w:spacing w:line="240" w:lineRule="auto"/>
    </w:pPr>
  </w:style>
  <w:style w:type="character" w:customStyle="1" w:styleId="FooterChar">
    <w:name w:val="Footer Char"/>
    <w:basedOn w:val="DefaultParagraphFont"/>
    <w:link w:val="Footer"/>
    <w:uiPriority w:val="99"/>
    <w:rsid w:val="00606ACB"/>
  </w:style>
  <w:style w:type="character" w:styleId="Hyperlink">
    <w:name w:val="Hyperlink"/>
    <w:basedOn w:val="DefaultParagraphFont"/>
    <w:uiPriority w:val="99"/>
    <w:unhideWhenUsed/>
    <w:rsid w:val="00682E50"/>
    <w:rPr>
      <w:color w:val="0000FF" w:themeColor="hyperlink"/>
      <w:u w:val="single"/>
    </w:rPr>
  </w:style>
  <w:style w:type="character" w:styleId="FollowedHyperlink">
    <w:name w:val="FollowedHyperlink"/>
    <w:basedOn w:val="DefaultParagraphFont"/>
    <w:uiPriority w:val="99"/>
    <w:semiHidden/>
    <w:unhideWhenUsed/>
    <w:rsid w:val="00682E50"/>
    <w:rPr>
      <w:color w:val="800080" w:themeColor="followedHyperlink"/>
      <w:u w:val="single"/>
    </w:rPr>
  </w:style>
  <w:style w:type="paragraph" w:styleId="CommentText">
    <w:name w:val="annotation text"/>
    <w:basedOn w:val="Normal"/>
    <w:link w:val="CommentTextChar"/>
    <w:uiPriority w:val="99"/>
    <w:semiHidden/>
    <w:unhideWhenUsed/>
    <w:rsid w:val="00682E50"/>
    <w:pPr>
      <w:spacing w:line="240" w:lineRule="auto"/>
    </w:pPr>
    <w:rPr>
      <w:sz w:val="20"/>
      <w:szCs w:val="20"/>
      <w:lang w:eastAsia="ja-JP"/>
    </w:rPr>
  </w:style>
  <w:style w:type="character" w:customStyle="1" w:styleId="CommentTextChar">
    <w:name w:val="Comment Text Char"/>
    <w:basedOn w:val="DefaultParagraphFont"/>
    <w:link w:val="CommentText"/>
    <w:uiPriority w:val="99"/>
    <w:semiHidden/>
    <w:rsid w:val="00682E50"/>
    <w:rPr>
      <w:sz w:val="20"/>
      <w:szCs w:val="20"/>
      <w:lang w:eastAsia="ja-JP"/>
    </w:rPr>
  </w:style>
  <w:style w:type="character" w:styleId="CommentReference">
    <w:name w:val="annotation reference"/>
    <w:basedOn w:val="DefaultParagraphFont"/>
    <w:uiPriority w:val="99"/>
    <w:semiHidden/>
    <w:unhideWhenUsed/>
    <w:rsid w:val="00682E50"/>
    <w:rPr>
      <w:sz w:val="16"/>
      <w:szCs w:val="16"/>
    </w:rPr>
  </w:style>
  <w:style w:type="character" w:styleId="Mention">
    <w:name w:val="Mention"/>
    <w:basedOn w:val="DefaultParagraphFont"/>
    <w:uiPriority w:val="99"/>
    <w:unhideWhenUsed/>
    <w:rsid w:val="00682E50"/>
    <w:rPr>
      <w:color w:val="2B579A"/>
      <w:shd w:val="clear" w:color="auto" w:fill="E6E6E6"/>
    </w:rPr>
  </w:style>
  <w:style w:type="paragraph" w:styleId="ListParagraph">
    <w:name w:val="List Paragraph"/>
    <w:basedOn w:val="Normal"/>
    <w:uiPriority w:val="34"/>
    <w:qFormat/>
    <w:rsid w:val="00682E50"/>
    <w:pPr>
      <w:ind w:left="720"/>
      <w:contextualSpacing/>
    </w:pPr>
    <w:rPr>
      <w:lang w:eastAsia="ja-JP"/>
    </w:rPr>
  </w:style>
  <w:style w:type="paragraph" w:styleId="Revision">
    <w:name w:val="Revision"/>
    <w:hidden/>
    <w:uiPriority w:val="99"/>
    <w:semiHidden/>
    <w:rsid w:val="00682E50"/>
    <w:pPr>
      <w:spacing w:line="240" w:lineRule="auto"/>
    </w:pPr>
    <w:rPr>
      <w:lang w:eastAsia="ja-JP"/>
    </w:rPr>
  </w:style>
  <w:style w:type="paragraph" w:customStyle="1" w:styleId="Heading">
    <w:name w:val="Heading"/>
    <w:basedOn w:val="NoSpacing"/>
    <w:link w:val="HeadingChar"/>
    <w:uiPriority w:val="1"/>
    <w:qFormat/>
    <w:rsid w:val="00682E50"/>
  </w:style>
  <w:style w:type="character" w:customStyle="1" w:styleId="HeadingChar">
    <w:name w:val="Heading Char"/>
    <w:link w:val="Heading"/>
    <w:uiPriority w:val="1"/>
    <w:rsid w:val="00682E50"/>
    <w:rPr>
      <w:rFonts w:ascii="Aptos" w:eastAsia="Aptos" w:hAnsi="Aptos" w:cs="Aptos"/>
      <w:b/>
      <w:bCs/>
      <w:lang w:val="en-US" w:eastAsia="ja-JP"/>
    </w:rPr>
  </w:style>
  <w:style w:type="paragraph" w:styleId="CommentSubject">
    <w:name w:val="annotation subject"/>
    <w:basedOn w:val="CommentText"/>
    <w:next w:val="CommentText"/>
    <w:link w:val="CommentSubjectChar"/>
    <w:uiPriority w:val="99"/>
    <w:semiHidden/>
    <w:unhideWhenUsed/>
    <w:rsid w:val="00682E50"/>
    <w:rPr>
      <w:b/>
      <w:bCs/>
    </w:rPr>
  </w:style>
  <w:style w:type="character" w:customStyle="1" w:styleId="CommentSubjectChar">
    <w:name w:val="Comment Subject Char"/>
    <w:basedOn w:val="CommentTextChar"/>
    <w:link w:val="CommentSubject"/>
    <w:uiPriority w:val="99"/>
    <w:semiHidden/>
    <w:rsid w:val="00682E50"/>
    <w:rPr>
      <w:b/>
      <w:bCs/>
      <w:sz w:val="20"/>
      <w:szCs w:val="20"/>
      <w:lang w:eastAsia="ja-JP"/>
    </w:rPr>
  </w:style>
  <w:style w:type="table" w:styleId="TableGrid">
    <w:name w:val="Table Grid"/>
    <w:basedOn w:val="TableNormal"/>
    <w:uiPriority w:val="59"/>
    <w:rsid w:val="00682E50"/>
    <w:pPr>
      <w:spacing w:line="240" w:lineRule="auto"/>
    </w:pPr>
    <w:rPr>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Normal"/>
    <w:next w:val="Normal"/>
    <w:uiPriority w:val="39"/>
    <w:unhideWhenUsed/>
    <w:rsid w:val="00682E50"/>
    <w:pPr>
      <w:spacing w:before="120"/>
    </w:pPr>
    <w:rPr>
      <w:rFonts w:asciiTheme="minorHAnsi" w:hAnsiTheme="minorHAnsi"/>
      <w:b/>
      <w:bCs/>
      <w:i/>
      <w:iCs/>
      <w:sz w:val="24"/>
      <w:szCs w:val="24"/>
    </w:rPr>
  </w:style>
  <w:style w:type="paragraph" w:styleId="NoSpacing">
    <w:name w:val="No Spacing"/>
    <w:basedOn w:val="Normal"/>
    <w:uiPriority w:val="1"/>
    <w:qFormat/>
    <w:rsid w:val="00682E50"/>
    <w:pPr>
      <w:spacing w:line="240" w:lineRule="auto"/>
    </w:pPr>
    <w:rPr>
      <w:rFonts w:ascii="Aptos" w:eastAsia="Aptos" w:hAnsi="Aptos" w:cs="Aptos"/>
      <w:b/>
      <w:bCs/>
      <w:lang w:val="en-US" w:eastAsia="ja-JP"/>
    </w:rPr>
  </w:style>
  <w:style w:type="paragraph" w:customStyle="1" w:styleId="SC81Normal">
    <w:name w:val="SC81 Normal"/>
    <w:basedOn w:val="Heading"/>
    <w:qFormat/>
    <w:rsid w:val="00682E50"/>
    <w:pPr>
      <w:spacing w:after="120"/>
    </w:pPr>
    <w:rPr>
      <w:b w:val="0"/>
      <w:bCs w:val="0"/>
    </w:rPr>
  </w:style>
  <w:style w:type="character" w:styleId="UnresolvedMention">
    <w:name w:val="Unresolved Mention"/>
    <w:basedOn w:val="DefaultParagraphFont"/>
    <w:uiPriority w:val="99"/>
    <w:semiHidden/>
    <w:unhideWhenUsed/>
    <w:rsid w:val="00682E50"/>
    <w:rPr>
      <w:color w:val="605E5C"/>
      <w:shd w:val="clear" w:color="auto" w:fill="E1DFDD"/>
    </w:rPr>
  </w:style>
  <w:style w:type="paragraph" w:styleId="TOCHeading">
    <w:name w:val="TOC Heading"/>
    <w:basedOn w:val="Heading1"/>
    <w:next w:val="Normal"/>
    <w:uiPriority w:val="39"/>
    <w:unhideWhenUsed/>
    <w:qFormat/>
    <w:rsid w:val="00682E50"/>
    <w:pPr>
      <w:shd w:val="clear" w:color="auto" w:fill="auto"/>
      <w:spacing w:before="48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2">
    <w:name w:val="toc 2"/>
    <w:basedOn w:val="Normal"/>
    <w:next w:val="Normal"/>
    <w:autoRedefine/>
    <w:uiPriority w:val="39"/>
    <w:semiHidden/>
    <w:unhideWhenUsed/>
    <w:rsid w:val="00682E50"/>
    <w:pPr>
      <w:spacing w:before="120"/>
      <w:ind w:left="220"/>
    </w:pPr>
    <w:rPr>
      <w:rFonts w:asciiTheme="minorHAnsi" w:hAnsiTheme="minorHAnsi"/>
      <w:b/>
      <w:bCs/>
    </w:rPr>
  </w:style>
  <w:style w:type="paragraph" w:styleId="TOC3">
    <w:name w:val="toc 3"/>
    <w:basedOn w:val="Normal"/>
    <w:next w:val="Normal"/>
    <w:autoRedefine/>
    <w:uiPriority w:val="39"/>
    <w:semiHidden/>
    <w:unhideWhenUsed/>
    <w:rsid w:val="00682E50"/>
    <w:pPr>
      <w:ind w:left="440"/>
    </w:pPr>
    <w:rPr>
      <w:rFonts w:asciiTheme="minorHAnsi" w:hAnsiTheme="minorHAnsi"/>
      <w:sz w:val="20"/>
      <w:szCs w:val="20"/>
    </w:rPr>
  </w:style>
  <w:style w:type="paragraph" w:styleId="TOC4">
    <w:name w:val="toc 4"/>
    <w:basedOn w:val="Normal"/>
    <w:next w:val="Normal"/>
    <w:autoRedefine/>
    <w:uiPriority w:val="39"/>
    <w:semiHidden/>
    <w:unhideWhenUsed/>
    <w:rsid w:val="00682E50"/>
    <w:pPr>
      <w:ind w:left="660"/>
    </w:pPr>
    <w:rPr>
      <w:rFonts w:asciiTheme="minorHAnsi" w:hAnsiTheme="minorHAnsi"/>
      <w:sz w:val="20"/>
      <w:szCs w:val="20"/>
    </w:rPr>
  </w:style>
  <w:style w:type="paragraph" w:styleId="TOC5">
    <w:name w:val="toc 5"/>
    <w:basedOn w:val="Normal"/>
    <w:next w:val="Normal"/>
    <w:autoRedefine/>
    <w:uiPriority w:val="39"/>
    <w:semiHidden/>
    <w:unhideWhenUsed/>
    <w:rsid w:val="00682E50"/>
    <w:pPr>
      <w:ind w:left="880"/>
    </w:pPr>
    <w:rPr>
      <w:rFonts w:asciiTheme="minorHAnsi" w:hAnsiTheme="minorHAnsi"/>
      <w:sz w:val="20"/>
      <w:szCs w:val="20"/>
    </w:rPr>
  </w:style>
  <w:style w:type="paragraph" w:styleId="TOC6">
    <w:name w:val="toc 6"/>
    <w:basedOn w:val="Normal"/>
    <w:next w:val="Normal"/>
    <w:autoRedefine/>
    <w:uiPriority w:val="39"/>
    <w:semiHidden/>
    <w:unhideWhenUsed/>
    <w:rsid w:val="00682E50"/>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682E50"/>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682E50"/>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682E50"/>
    <w:pPr>
      <w:ind w:left="176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cites.org/sites/default/files/documents/SC/81/agenda/E-SC81-18.pdf" TargetMode="External"/><Relationship Id="rId21" Type="http://schemas.openxmlformats.org/officeDocument/2006/relationships/hyperlink" Target="https://alliance-health-wildlife.org/2026/05/29/new-alliance-publication-white-paper-on-live-wildlife-trade-and-markets/" TargetMode="External"/><Relationship Id="rId34" Type="http://schemas.openxmlformats.org/officeDocument/2006/relationships/hyperlink" Target="https://cites.org/sites/default/files/documents/SC/81/agenda/E-SC81-32-03.pdf" TargetMode="External"/><Relationship Id="rId42" Type="http://schemas.openxmlformats.org/officeDocument/2006/relationships/hyperlink" Target="https://cites.org/sites/default/files/documents/SC/81/agenda/E-SC81-36-02_1.pdf" TargetMode="External"/><Relationship Id="rId47" Type="http://schemas.openxmlformats.org/officeDocument/2006/relationships/hyperlink" Target="https://cites.org/sites/default/files/documents/SC/81/agenda/E-SC81-41.pdf" TargetMode="External"/><Relationship Id="rId50" Type="http://schemas.openxmlformats.org/officeDocument/2006/relationships/hyperlink" Target="https://cites.org/sites/default/files/documents/SC/81/agenda/E-SC81-45.pdf" TargetMode="External"/><Relationship Id="rId55" Type="http://schemas.openxmlformats.org/officeDocument/2006/relationships/hyperlink" Target="https://cites.org/sites/default/files/documents/SC/81/agenda/E-SC81-53-03.pdf"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wcs.org/coronavirus" TargetMode="External"/><Relationship Id="rId29" Type="http://schemas.openxmlformats.org/officeDocument/2006/relationships/hyperlink" Target="https://www.cbd.int/gbf/targets/5/" TargetMode="External"/><Relationship Id="rId11" Type="http://schemas.openxmlformats.org/officeDocument/2006/relationships/hyperlink" Target="https://www.wcs.org/our-work/solutions/international-policy" TargetMode="External"/><Relationship Id="rId24" Type="http://schemas.openxmlformats.org/officeDocument/2006/relationships/hyperlink" Target="https://cites.org/sites/default/files/documents/E-CoP20-Com-II-Rec-04-R1.pdf" TargetMode="External"/><Relationship Id="rId32" Type="http://schemas.openxmlformats.org/officeDocument/2006/relationships/hyperlink" Target="https://cites.org/sites/default/files/documents/SC/81/agenda/E-SC81-32-01.pdf" TargetMode="External"/><Relationship Id="rId37" Type="http://schemas.openxmlformats.org/officeDocument/2006/relationships/hyperlink" Target="https://cites.org/sites/default/files/documents/SC/81/agenda/E-SC81-33-06_0.pdf" TargetMode="External"/><Relationship Id="rId40" Type="http://schemas.openxmlformats.org/officeDocument/2006/relationships/hyperlink" Target="https://cites.org/sites/default/files/documents/SC/81/agenda/E-SC81-34-04.pdf" TargetMode="External"/><Relationship Id="rId45" Type="http://schemas.openxmlformats.org/officeDocument/2006/relationships/hyperlink" Target="https://cites.org/sites/default/files/documents/SC/81/agenda/E-SC81-39.pdf" TargetMode="External"/><Relationship Id="rId53" Type="http://schemas.openxmlformats.org/officeDocument/2006/relationships/hyperlink" Target="https://cites.org/sites/default/files/documents/SC/81/agenda/E-SC81-52.pdf" TargetMode="External"/><Relationship Id="rId58" Type="http://schemas.openxmlformats.org/officeDocument/2006/relationships/hyperlink" Target="https://cites.org/sites/default/files/documents/SC/81/agenda/E-SC81-55.pdf"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cites.org/sites/default/files/documents/SC/81/agenda/E-SC81-58.pdf" TargetMode="External"/><Relationship Id="rId19" Type="http://schemas.openxmlformats.org/officeDocument/2006/relationships/hyperlink" Target="https://www.cbd.int/doc/decisions/cop-16/cop-16-dec-19-en.pdf" TargetMode="External"/><Relationship Id="rId14" Type="http://schemas.openxmlformats.org/officeDocument/2006/relationships/hyperlink" Target="https://cites.org/sites/default/files/documents/SC/81/agenda/E-SC81-14.pdf" TargetMode="External"/><Relationship Id="rId22" Type="http://schemas.openxmlformats.org/officeDocument/2006/relationships/hyperlink" Target="https://cites.org/sites/default/files/documents/SC/81/agenda/E-SC81-15.pdf" TargetMode="External"/><Relationship Id="rId27" Type="http://schemas.openxmlformats.org/officeDocument/2006/relationships/hyperlink" Target="https://cites.org/sites/default/files/documents/SC/81/agenda/E-SC81-23.pdf" TargetMode="External"/><Relationship Id="rId30" Type="http://schemas.openxmlformats.org/officeDocument/2006/relationships/hyperlink" Target="https://cites.org/sites/default/files/documents/SC/81/agenda/E-SC81-29.pdf" TargetMode="External"/><Relationship Id="rId35" Type="http://schemas.openxmlformats.org/officeDocument/2006/relationships/hyperlink" Target="https://cites.org/sites/default/files/documents/SC/81/agenda/E-SC81-33-02.pdf" TargetMode="External"/><Relationship Id="rId43" Type="http://schemas.openxmlformats.org/officeDocument/2006/relationships/hyperlink" Target="https://cites.org/sites/default/files/documents/SC/81/agenda/E-SC81-37-02_0.pdf" TargetMode="External"/><Relationship Id="rId48" Type="http://schemas.openxmlformats.org/officeDocument/2006/relationships/hyperlink" Target="https://cites.org/sites/default/files/documents/SC/81/agenda/E-SC81-43-01.pdf" TargetMode="External"/><Relationship Id="rId56" Type="http://schemas.openxmlformats.org/officeDocument/2006/relationships/hyperlink" Target="https://cites.org/sites/default/files/documents/SC/81/agenda/E-SC81-53-03.pdf" TargetMode="External"/><Relationship Id="rId64"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yperlink" Target="https://cites.org/sites/default/files/documents/SC/81/agenda/E-SC81-48.pdf" TargetMode="External"/><Relationship Id="rId3" Type="http://schemas.openxmlformats.org/officeDocument/2006/relationships/styles" Target="styles.xml"/><Relationship Id="rId12" Type="http://schemas.openxmlformats.org/officeDocument/2006/relationships/hyperlink" Target="https://cites.org/sites/default/files/documents/SC/81/agenda/E-SC81-13-01.pdf" TargetMode="External"/><Relationship Id="rId17" Type="http://schemas.openxmlformats.org/officeDocument/2006/relationships/hyperlink" Target="https://www.wcs.org/coronavirus" TargetMode="External"/><Relationship Id="rId25" Type="http://schemas.openxmlformats.org/officeDocument/2006/relationships/hyperlink" Target="https://cites.org/sites/default/files/documents/SC/81/agenda/E-SC81-17.pdf" TargetMode="External"/><Relationship Id="rId33" Type="http://schemas.openxmlformats.org/officeDocument/2006/relationships/hyperlink" Target="https://cites.org/sites/default/files/documents/SC/81/agenda/E-SC81-32-02_0.pdf" TargetMode="External"/><Relationship Id="rId38" Type="http://schemas.openxmlformats.org/officeDocument/2006/relationships/hyperlink" Target="https://cites.org/sites/default/files/documents/SC/81/agenda/E-SC81-33-10.pdf" TargetMode="External"/><Relationship Id="rId46" Type="http://schemas.openxmlformats.org/officeDocument/2006/relationships/hyperlink" Target="https://cites.org/sites/default/files/documents/SC/81/agenda/E-SC81-40-01.pdf" TargetMode="External"/><Relationship Id="rId59" Type="http://schemas.openxmlformats.org/officeDocument/2006/relationships/hyperlink" Target="https://cites.org/sites/default/files/documents/SC/81/agenda/E-SC81-56.pdf" TargetMode="External"/><Relationship Id="rId20" Type="http://schemas.openxmlformats.org/officeDocument/2006/relationships/hyperlink" Target="https://www.cbd.int/doc/decisions/cop-16/cop-16-dec-19-en.pdf" TargetMode="External"/><Relationship Id="rId41" Type="http://schemas.openxmlformats.org/officeDocument/2006/relationships/hyperlink" Target="https://cites.org/sites/default/files/documents/SC/81/agenda/E-SC81-36-01.pdf" TargetMode="External"/><Relationship Id="rId54" Type="http://schemas.openxmlformats.org/officeDocument/2006/relationships/hyperlink" Target="https://cites.org/sites/default/files/documents/SC/81/agenda/E-SC81-53-02.pdf" TargetMode="External"/><Relationship Id="rId62" Type="http://schemas.openxmlformats.org/officeDocument/2006/relationships/hyperlink" Target="https://cites.org/sites/default/files/documents/SC/81/agenda/E-SC81-59.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neworldonehealth.wcs.org/" TargetMode="External"/><Relationship Id="rId23" Type="http://schemas.openxmlformats.org/officeDocument/2006/relationships/hyperlink" Target="https://cites.org/sites/default/files/documents/SC/81/agenda/E-SC81-16.pdf" TargetMode="External"/><Relationship Id="rId28" Type="http://schemas.openxmlformats.org/officeDocument/2006/relationships/hyperlink" Target="https://cites.org/sites/default/files/documents/SC/81/agenda/E-SC81-27.pdf" TargetMode="External"/><Relationship Id="rId36" Type="http://schemas.openxmlformats.org/officeDocument/2006/relationships/hyperlink" Target="https://cites.org/sites/default/files/documents/SC/81/agenda/E-SC81-33-05.pdf" TargetMode="External"/><Relationship Id="rId49" Type="http://schemas.openxmlformats.org/officeDocument/2006/relationships/hyperlink" Target="https://cites.org/sites/default/files/documents/SC/81/agenda/E-SC81-43-02.pdf" TargetMode="External"/><Relationship Id="rId57" Type="http://schemas.openxmlformats.org/officeDocument/2006/relationships/hyperlink" Target="https://cites.org/sites/default/files/documents/SC/81/agenda/E-SC81-53-03.pdf" TargetMode="External"/><Relationship Id="rId10" Type="http://schemas.openxmlformats.org/officeDocument/2006/relationships/hyperlink" Target="mailto:adegemmis@wcs.org" TargetMode="External"/><Relationship Id="rId31" Type="http://schemas.openxmlformats.org/officeDocument/2006/relationships/hyperlink" Target="https://cites.org/sites/default/files/documents/SC/81/agenda/E-SC81-30.pdf" TargetMode="External"/><Relationship Id="rId44" Type="http://schemas.openxmlformats.org/officeDocument/2006/relationships/hyperlink" Target="https://cites.org/sites/default/files/documents/SC/81/agenda/E-SC81-37-03.pdf" TargetMode="External"/><Relationship Id="rId52" Type="http://schemas.openxmlformats.org/officeDocument/2006/relationships/hyperlink" Target="https://cites.org/sites/default/files/documents/SC/81/agenda/E-SC81-51.pdf" TargetMode="External"/><Relationship Id="rId60" Type="http://schemas.openxmlformats.org/officeDocument/2006/relationships/hyperlink" Target="https://cites.org/sites/default/files/documents/SC/81/agenda/E-SC81-57.pdf"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lieberman@wcs.org" TargetMode="External"/><Relationship Id="rId13" Type="http://schemas.openxmlformats.org/officeDocument/2006/relationships/hyperlink" Target="https://cites.org/sites/default/files/documents/SC/81/agenda/E-SC81-13-02.pdf" TargetMode="External"/><Relationship Id="rId18" Type="http://schemas.openxmlformats.org/officeDocument/2006/relationships/hyperlink" Target="https://www.woah.org/app/uploads/2024/05/wildlife-trade-guidelines.pdf" TargetMode="External"/><Relationship Id="rId39" Type="http://schemas.openxmlformats.org/officeDocument/2006/relationships/hyperlink" Target="https://cites.org/sites/default/files/documents/SC/81/agenda/E-SC81-34-02.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848A1-2320-EC4E-8467-ACCBE09D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10966</Words>
  <Characters>62509</Characters>
  <Application>Microsoft Office Word</Application>
  <DocSecurity>0</DocSecurity>
  <Lines>520</Lines>
  <Paragraphs>146</Paragraphs>
  <ScaleCrop>false</ScaleCrop>
  <Company/>
  <LinksUpToDate>false</LinksUpToDate>
  <CharactersWithSpaces>73329</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lastModifiedBy>DeGemmis, Alfred</lastModifiedBy>
  <revision>2</revision>
  <dcterms:created xsi:type="dcterms:W3CDTF">2026-10-11T14:07:00.0000000Z</dcterms:created>
  <dcterms:modified xsi:type="dcterms:W3CDTF">2026-10-11T14:07:00.0000000Z</dcterms:modified>
  <keywords>, docId:6869236C3515B1FC7EEF863AC0731E09</keywords>
</coreProperties>
</file>