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C639F" w:rsidR="00FC639F" w:rsidP="25A30E0F" w:rsidRDefault="00606ACB" w14:paraId="378212D3" w14:textId="4AE485DB">
      <w:pPr>
        <w:shd w:val="clear" w:color="auto" w:fill="FFFFFF" w:themeFill="background1"/>
        <w:spacing w:line="240" w:lineRule="auto"/>
      </w:pPr>
      <w:r w:rsidRPr="25A30E0F">
        <w:rPr>
          <w:rFonts w:ascii="Aptos ExtraBold" w:hAnsi="Aptos ExtraBold" w:eastAsia="Twentieth Century" w:cs="Twentieth Century"/>
          <w:b/>
          <w:bCs/>
          <w:sz w:val="32"/>
          <w:szCs w:val="32"/>
        </w:rPr>
        <w:t xml:space="preserve">Recomendaciones de la WCS para la 81.ª reunión del Comité de Conservación de la CITES</w:t>
      </w:r>
      <w:r w:rsidRPr="25A30E0F">
        <w:rPr>
          <w:rFonts w:ascii="Aptos ExtraBold" w:hAnsi="Aptos ExtraBold" w:eastAsia="Twentieth Century" w:cs="Twentieth Century"/>
          <w:b/>
          <w:bCs/>
          <w:sz w:val="24"/>
          <w:szCs w:val="24"/>
        </w:rPr>
        <w:t xml:space="preserve"> </w:t>
      </w:r>
      <w:r w:rsidR="25A30E0F">
        <w:rPr>
          <w:noProof/>
        </w:rPr>
        <w:drawing>
          <wp:anchor distT="0" distB="0" distL="114300" distR="114300" simplePos="0" relativeHeight="251659264" behindDoc="0" locked="0" layoutInCell="1" allowOverlap="1" wp14:editId="53D6E49A" wp14:anchorId="480753EC">
            <wp:simplePos x="0" y="0"/>
            <wp:positionH relativeFrom="column">
              <wp:posOffset>4229100</wp:posOffset>
            </wp:positionH>
            <wp:positionV relativeFrom="paragraph">
              <wp:posOffset>-123825</wp:posOffset>
            </wp:positionV>
            <wp:extent cx="1815684" cy="647700"/>
            <wp:effectExtent l="0" t="0" r="0" b="0"/>
            <wp:wrapNone/>
            <wp:docPr id="14675832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15684" cy="647700"/>
                    </a:xfrm>
                    <a:prstGeom prst="rect">
                      <a:avLst/>
                    </a:prstGeom>
                    <a:ln/>
                  </pic:spPr>
                </pic:pic>
              </a:graphicData>
            </a:graphic>
            <wp14:sizeRelH relativeFrom="page">
              <wp14:pctWidth>0</wp14:pctWidth>
            </wp14:sizeRelH>
            <wp14:sizeRelV relativeFrom="page">
              <wp14:pctHeight>0</wp14:pctHeight>
            </wp14:sizeRelV>
          </wp:anchor>
        </w:drawing>
      </w:r>
    </w:p>
    <w:p w:rsidR="00606ACB" w:rsidP="61EE67E2" w:rsidRDefault="00606ACB" w14:paraId="213C479D" w14:textId="088C4C4B">
      <w:pPr>
        <w:shd w:val="clear" w:color="auto" w:fill="FFFFFF" w:themeFill="background1"/>
        <w:spacing w:line="240" w:lineRule="auto"/>
      </w:pPr>
      <w:r w:rsidRPr="61EE67E2">
        <w:rPr>
          <w:rFonts w:ascii="Aptos" w:hAnsi="Aptos" w:eastAsia="Twentieth Century" w:cs="Twentieth Century"/>
          <w:b/>
          <w:bCs/>
          <w:color w:val="B7B7B7"/>
          <w:sz w:val="24"/>
          <w:szCs w:val="24"/>
        </w:rPr>
        <w:t xml:space="preserve">Ginebra, Suiza, del 2 al 6 de noviembre de 2026</w:t>
      </w:r>
    </w:p>
    <w:p w:rsidRPr="00682E50" w:rsidR="007A4A91" w:rsidP="00682E50" w:rsidRDefault="007A4A91" w14:paraId="33408B5B" w14:textId="59034264">
      <w:pPr>
        <w:shd w:val="clear" w:color="auto" w:fill="FFFFFF"/>
        <w:spacing w:line="240" w:lineRule="auto"/>
        <w:rPr>
          <w:rFonts w:ascii="Aptos" w:hAnsi="Aptos" w:eastAsia="Twentieth Century" w:cs="Twentieth Century"/>
          <w:shd w:val="clear" w:color="auto" w:fill="C6C6C6"/>
        </w:rPr>
      </w:pPr>
    </w:p>
    <w:p w:rsidRPr="00682E50" w:rsidR="007A4A91" w:rsidP="00682E50" w:rsidRDefault="007A4A91" w14:paraId="4E2EE7D1" w14:textId="21472960">
      <w:pPr>
        <w:shd w:val="clear" w:color="auto" w:fill="FFFFFF"/>
        <w:spacing w:line="240" w:lineRule="auto"/>
        <w:rPr>
          <w:rFonts w:ascii="Aptos" w:hAnsi="Aptos" w:eastAsia="Twentieth Century" w:cs="Twentieth Century"/>
          <w:shd w:val="clear" w:color="auto" w:fill="C6C6C6"/>
        </w:rPr>
      </w:pPr>
    </w:p>
    <w:p w:rsidR="25A30E0F" w:rsidP="25A30E0F" w:rsidRDefault="25A30E0F" w14:paraId="72A8C17F" w14:textId="2EDCB523">
      <w:pPr>
        <w:shd w:val="clear" w:color="auto" w:fill="FFFFFF" w:themeFill="background1"/>
        <w:spacing w:line="240" w:lineRule="auto"/>
      </w:pPr>
    </w:p>
    <w:p w:rsidRPr="00682E50" w:rsidR="00682E50" w:rsidP="00682E50" w:rsidRDefault="00682E50" w14:paraId="58601AD2" w14:textId="77777777">
      <w:pPr>
        <w:spacing w:line="240" w:lineRule="auto"/>
        <w:rPr>
          <w:rFonts w:ascii="Aptos" w:hAnsi="Aptos" w:eastAsia="Aptos" w:cs="Aptos"/>
          <w:lang w:val="en-US"/>
        </w:rPr>
      </w:pPr>
      <w:r w:rsidRPr="25A30E0F">
        <w:rPr>
          <w:rFonts w:ascii="Aptos" w:hAnsi="Aptos" w:eastAsia="Aptos" w:cs="Aptos"/>
          <w:lang w:val="en-US"/>
        </w:rPr>
        <w:t xml:space="preserve">La Sociedad para la Conservación de la Vida Silvestre (WCS) es una ONG internacional dedicada a la conservación que lleva más de 125 años trabajando en todo el mundo para proteger la vida silvestre y los hábitats naturales. Contamos con programas de conservación sobre el terreno en unos 60 países que colaboran con gobiernos, pueblos indígenas, comunidades locales, el sector privado, el mundo académico y otras partes interesadas en iniciativas de conservación basadas en la ciencia. </w:t>
      </w:r>
    </w:p>
    <w:p w:rsidRPr="00682E50" w:rsidR="00682E50" w:rsidP="00682E50" w:rsidRDefault="00682E50" w14:paraId="79F1D116" w14:textId="77777777">
      <w:pPr>
        <w:spacing w:line="240" w:lineRule="auto"/>
        <w:rPr>
          <w:rFonts w:ascii="Aptos" w:hAnsi="Aptos" w:eastAsia="Aptos" w:cs="Aptos"/>
          <w:lang w:val="en-US"/>
        </w:rPr>
      </w:pPr>
    </w:p>
    <w:p w:rsidRPr="00682E50" w:rsidR="00682E50" w:rsidP="00682E50" w:rsidRDefault="00682E50" w14:paraId="4CEF4149" w14:textId="77777777">
      <w:pPr>
        <w:spacing w:line="240" w:lineRule="auto"/>
        <w:rPr>
          <w:rFonts w:ascii="Aptos" w:hAnsi="Aptos" w:eastAsia="Aptos" w:cs="Aptos"/>
          <w:lang w:val="en-US"/>
        </w:rPr>
      </w:pPr>
      <w:r w:rsidRPr="164385D1">
        <w:rPr>
          <w:rFonts w:ascii="Aptos" w:hAnsi="Aptos" w:eastAsia="Aptos" w:cs="Aptos"/>
          <w:lang w:val="en-US"/>
        </w:rPr>
        <w:t xml:space="preserve">Si tiene alguna pregunta sobre el contenido de este documento, </w:t>
      </w:r>
      <w:r w:rsidRPr="164385D1">
        <w:rPr>
          <w:rFonts w:ascii="Aptos" w:hAnsi="Aptos" w:eastAsia="Aptos" w:cs="Aptos"/>
          <w:lang w:val="en-US"/>
        </w:rPr>
        <w:t xml:space="preserve">póngase en contacto </w:t>
      </w:r>
      <w:r w:rsidRPr="164385D1">
        <w:rPr>
          <w:rFonts w:ascii="Aptos" w:hAnsi="Aptos" w:eastAsia="Aptos" w:cs="Aptos"/>
          <w:lang w:val="en-US"/>
        </w:rPr>
        <w:t xml:space="preserve">con</w:t>
      </w:r>
      <w:r w:rsidRPr="164385D1">
        <w:rPr>
          <w:rFonts w:ascii="Aptos" w:hAnsi="Aptos" w:eastAsia="Aptos" w:cs="Aptos"/>
          <w:lang w:val="en-US"/>
        </w:rPr>
        <w:t xml:space="preserve"> la Dra. Susan Lieberman (</w:t>
      </w:r>
      <w:hyperlink r:id="rId9">
        <w:r w:rsidRPr="164385D1">
          <w:rPr>
            <w:rStyle w:val="Hyperlink"/>
            <w:rFonts w:ascii="Aptos" w:hAnsi="Aptos"/>
            <w:lang w:val="en-US"/>
          </w:rPr>
          <w:t>slieberman@wcs.org</w:t>
        </w:r>
      </w:hyperlink>
      <w:r w:rsidRPr="164385D1">
        <w:rPr>
          <w:rFonts w:ascii="Aptos" w:hAnsi="Aptos" w:eastAsia="Aptos" w:cs="Aptos"/>
          <w:lang w:val="en-US"/>
        </w:rPr>
        <w:t xml:space="preserve"> ) y Alfred DeGemmis (</w:t>
      </w:r>
      <w:hyperlink r:id="rId10">
        <w:r w:rsidRPr="164385D1">
          <w:rPr>
            <w:rStyle w:val="Hyperlink"/>
            <w:rFonts w:ascii="Aptos" w:hAnsi="Aptos"/>
            <w:lang w:val="en-US"/>
          </w:rPr>
          <w:t>adegemmis@wcs.org</w:t>
        </w:r>
      </w:hyperlink>
      <w:r w:rsidRPr="164385D1">
        <w:rPr>
          <w:rStyle w:val="Hyperlink"/>
          <w:rFonts w:ascii="Aptos" w:hAnsi="Aptos"/>
          <w:lang w:val="en-US"/>
        </w:rPr>
        <w:t xml:space="preserve"> )</w:t>
      </w:r>
      <w:r w:rsidRPr="164385D1">
        <w:rPr>
          <w:rFonts w:ascii="Aptos" w:hAnsi="Aptos" w:eastAsia="Aptos" w:cs="Aptos"/>
          <w:lang w:val="en-US"/>
        </w:rPr>
        <w:t xml:space="preserve">. Consulte el anexo de este documento para ver la lista de acrónimos utilizados. </w:t>
      </w:r>
    </w:p>
    <w:p w:rsidRPr="00682E50" w:rsidR="007A4A91" w:rsidP="5403C073" w:rsidRDefault="00000000" w14:paraId="7F646FE5"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Pr="00682E50" w:rsidR="007A4A91" w:rsidP="5403C073" w:rsidRDefault="00000000" w14:paraId="4B25A897"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Pr="00682E50" w:rsidR="007A4A91" w:rsidP="5403C073" w:rsidRDefault="00682E50" w14:paraId="7EC18131" w14:textId="237F05A2">
      <w:pPr>
        <w:shd w:val="clear" w:color="auto" w:fill="FFFFFF" w:themeFill="background1"/>
        <w:spacing w:line="240" w:lineRule="auto"/>
        <w:rPr>
          <w:rFonts w:ascii="Aptos" w:hAnsi="Aptos" w:eastAsia="Twentieth Century" w:cs="Twentieth Century"/>
          <w:shd w:val="clear" w:color="auto" w:fill="C6C6C6"/>
        </w:rPr>
      </w:pPr>
      <w:r>
        <w:rPr>
          <w:rFonts w:ascii="Aptos" w:hAnsi="Aptos" w:eastAsia="Twentieth Century" w:cs="Twentieth Century"/>
          <w:b/>
          <w:bCs/>
        </w:rPr>
        <w:t xml:space="preserve">Ir a una recomendación específica</w:t>
      </w:r>
      <w:r w:rsidRPr="00682E50">
        <w:rPr>
          <w:rFonts w:ascii="Aptos" w:hAnsi="Aptos" w:eastAsia="Twentieth Century" w:cs="Twentieth Century"/>
          <w:b/>
          <w:bCs/>
        </w:rPr>
        <w:t xml:space="preserve">:  </w:t>
      </w:r>
    </w:p>
    <w:p w:rsidR="00682E50" w:rsidP="5403C073" w:rsidRDefault="00000000" w14:paraId="35DE2113" w14:textId="1535560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00682E50" w:rsidP="25A30E0F" w:rsidRDefault="00682E50" w14:paraId="4B2697F0" w14:textId="77777777">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Aptos" w:hAnsi="Aptos" w:eastAsia="Twentieth Century" w:cs="Twentieth Century"/>
            <w:color w:val="1F497D" w:themeColor="text2"/>
            <w:sz w:val="19"/>
            <w:szCs w:val="19"/>
            <w:u w:val="none"/>
          </w:rPr>
          <w:t xml:space="preserve">13.1: Mejorar el trabajo y la eficiencia de la Convención a través de los comités permanentes: Informe del Grupo de Trabajo</w:t>
        </w:r>
      </w:hyperlink>
    </w:p>
    <w:p w:rsidRPr="00682E50" w:rsidR="00682E50" w:rsidP="25A30E0F" w:rsidRDefault="00682E50" w14:paraId="2E01F1CA" w14:textId="5F6A40A8">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Aptos" w:hAnsi="Aptos" w:eastAsia="Twentieth Century" w:cs="Twentieth Century"/>
            <w:color w:val="1F497D" w:themeColor="text2"/>
            <w:sz w:val="19"/>
            <w:szCs w:val="19"/>
            <w:u w:val="none"/>
          </w:rPr>
          <w:t xml:space="preserve">13.2: Mejorar la labor y la eficiencia de la Convención a través de los comités permanentes: Solicitudes de información a las Partes: Panorama general y desafíos clave</w:t>
        </w:r>
      </w:hyperlink>
    </w:p>
    <w:p w:rsidRPr="00682E50" w:rsidR="00682E50" w:rsidP="00682E50" w:rsidRDefault="00682E50" w14:paraId="249DBA88" w14:textId="0077A22D">
      <w:pPr>
        <w:shd w:val="clear" w:color="auto" w:fill="FFFFFF"/>
        <w:spacing w:line="240" w:lineRule="auto"/>
        <w:ind w:start="180"/>
        <w:rPr>
          <w:rFonts w:ascii="Aptos" w:hAnsi="Aptos" w:eastAsia="Twentieth Century" w:cs="Twentieth Century"/>
          <w:color w:val="1F497D" w:themeColor="text2"/>
          <w:sz w:val="19"/>
          <w:szCs w:val="19"/>
        </w:rPr>
      </w:pPr>
      <w:hyperlink w:history="1" w:anchor="_14:_Role_of">
        <w:r w:rsidRPr="00682E50">
          <w:rPr>
            <w:rStyle w:val="Hyperlink"/>
            <w:rFonts w:ascii="Aptos" w:hAnsi="Aptos" w:eastAsia="Twentieth Century" w:cs="Twentieth Century"/>
            <w:color w:val="1F497D" w:themeColor="text2"/>
            <w:sz w:val="19"/>
            <w:szCs w:val="19"/>
            <w:u w:val="none"/>
          </w:rPr>
          <w:t xml:space="preserve">14: El papel de la CITES en la reducción del riesgo de aparición futura de enfermedades zoonóticas asociadas al comercio internacional de vida silvestre [Decisiones 19.17 (Rev. CoP20) y 20.23]</w:t>
        </w:r>
      </w:hyperlink>
    </w:p>
    <w:p w:rsidRPr="00682E50" w:rsidR="00682E50" w:rsidP="00682E50" w:rsidRDefault="00682E50" w14:paraId="5209B245" w14:textId="793FD08B">
      <w:pPr>
        <w:shd w:val="clear" w:color="auto" w:fill="FFFFFF"/>
        <w:spacing w:line="240" w:lineRule="auto"/>
        <w:ind w:start="180"/>
        <w:rPr>
          <w:rFonts w:ascii="Aptos" w:hAnsi="Aptos" w:eastAsia="Twentieth Century" w:cs="Twentieth Century"/>
          <w:color w:val="1F497D" w:themeColor="text2"/>
          <w:sz w:val="19"/>
          <w:szCs w:val="19"/>
        </w:rPr>
      </w:pPr>
      <w:hyperlink w:history="1" w:anchor="_15:_Cooperation_with">
        <w:r w:rsidRPr="00682E50">
          <w:rPr>
            <w:rStyle w:val="Hyperlink"/>
            <w:rFonts w:ascii="Aptos" w:hAnsi="Aptos" w:eastAsia="Twentieth Century" w:cs="Twentieth Century"/>
            <w:color w:val="1F497D" w:themeColor="text2"/>
            <w:sz w:val="19"/>
            <w:szCs w:val="19"/>
            <w:u w:val="none"/>
          </w:rPr>
          <w:t xml:space="preserve">15: Cooperación con los acuerdos multilaterales sobre el medio ambiente y otras organizaciones internacionales</w:t>
        </w:r>
      </w:hyperlink>
    </w:p>
    <w:p w:rsidRPr="00682E50" w:rsidR="00682E50" w:rsidP="00682E50" w:rsidRDefault="00682E50" w14:paraId="5908EA1D" w14:textId="09743334">
      <w:pPr>
        <w:shd w:val="clear" w:color="auto" w:fill="FFFFFF"/>
        <w:spacing w:line="240" w:lineRule="auto"/>
        <w:ind w:start="180"/>
        <w:rPr>
          <w:rFonts w:ascii="Aptos" w:hAnsi="Aptos" w:eastAsia="Twentieth Century" w:cs="Twentieth Century"/>
          <w:color w:val="1F497D" w:themeColor="text2"/>
          <w:sz w:val="19"/>
          <w:szCs w:val="19"/>
        </w:rPr>
      </w:pPr>
      <w:hyperlink w:history="1" w:anchor="_16:_IPBES_Assessment">
        <w:r w:rsidRPr="00682E50">
          <w:rPr>
            <w:rStyle w:val="Hyperlink"/>
            <w:rFonts w:ascii="Aptos" w:hAnsi="Aptos" w:eastAsia="Twentieth Century" w:cs="Twentieth Century"/>
            <w:color w:val="1F497D" w:themeColor="text2"/>
            <w:sz w:val="19"/>
            <w:szCs w:val="19"/>
            <w:u w:val="none"/>
          </w:rPr>
          <w:t xml:space="preserve">16: Informe de evaluación de la IPBES sobre el uso sostenible de las especies silvestres</w:t>
        </w:r>
      </w:hyperlink>
    </w:p>
    <w:p w:rsidRPr="00682E50" w:rsidR="00682E50" w:rsidP="00682E50" w:rsidRDefault="00682E50" w14:paraId="460A4DB3" w14:textId="61FF2993">
      <w:pPr>
        <w:shd w:val="clear" w:color="auto" w:fill="FFFFFF"/>
        <w:spacing w:line="240" w:lineRule="auto"/>
        <w:ind w:start="180"/>
        <w:rPr>
          <w:rFonts w:ascii="Aptos" w:hAnsi="Aptos" w:eastAsia="Twentieth Century" w:cs="Twentieth Century"/>
          <w:color w:val="1F497D" w:themeColor="text2"/>
          <w:sz w:val="19"/>
          <w:szCs w:val="19"/>
        </w:rPr>
      </w:pPr>
      <w:hyperlink w:history="1" w:anchor="_17:_Review_of">
        <w:r w:rsidRPr="00682E50">
          <w:rPr>
            <w:rStyle w:val="Hyperlink"/>
            <w:rFonts w:ascii="Aptos" w:hAnsi="Aptos" w:eastAsia="Twentieth Century" w:cs="Twentieth Century"/>
            <w:color w:val="1F497D" w:themeColor="text2"/>
            <w:sz w:val="19"/>
            <w:szCs w:val="19"/>
            <w:u w:val="none"/>
          </w:rPr>
          <w:t xml:space="preserve">17: Revisión de la Resolución Conf. 10.4 (Rev. CoP14) y la Resolución Conf. 13.2 (Rev. CoP14)</w:t>
        </w:r>
      </w:hyperlink>
    </w:p>
    <w:p w:rsidRPr="00682E50" w:rsidR="00682E50" w:rsidP="00682E50" w:rsidRDefault="00682E50" w14:paraId="1453ACD6" w14:textId="3C9360CB">
      <w:pPr>
        <w:shd w:val="clear" w:color="auto" w:fill="FFFFFF"/>
        <w:spacing w:line="240" w:lineRule="auto"/>
        <w:ind w:start="180"/>
        <w:rPr>
          <w:rFonts w:ascii="Aptos" w:hAnsi="Aptos" w:eastAsia="Twentieth Century" w:cs="Twentieth Century"/>
          <w:color w:val="1F497D" w:themeColor="text2"/>
          <w:sz w:val="19"/>
          <w:szCs w:val="19"/>
        </w:rPr>
      </w:pPr>
      <w:hyperlink w:history="1" w:anchor="_18:_World_Wildlife">
        <w:r w:rsidRPr="00682E50">
          <w:rPr>
            <w:rStyle w:val="Hyperlink"/>
            <w:rFonts w:ascii="Aptos" w:hAnsi="Aptos" w:eastAsia="Twentieth Century" w:cs="Twentieth Century"/>
            <w:color w:val="1F497D" w:themeColor="text2"/>
            <w:sz w:val="19"/>
            <w:szCs w:val="19"/>
            <w:u w:val="none"/>
          </w:rPr>
          <w:t xml:space="preserve">18: Informe sobre el comercio mundial de vida silvestre (Decisiones 20.18 y 20.19)</w:t>
        </w:r>
      </w:hyperlink>
    </w:p>
    <w:p w:rsidRPr="00682E50" w:rsidR="00682E50" w:rsidP="00682E50" w:rsidRDefault="00682E50" w14:paraId="691A5B4A" w14:textId="7D03B799">
      <w:pPr>
        <w:shd w:val="clear" w:color="auto" w:fill="FFFFFF"/>
        <w:spacing w:line="240" w:lineRule="auto"/>
        <w:ind w:start="180"/>
        <w:rPr>
          <w:rFonts w:ascii="Aptos" w:hAnsi="Aptos" w:eastAsia="Twentieth Century" w:cs="Twentieth Century"/>
          <w:color w:val="1F497D" w:themeColor="text2"/>
          <w:sz w:val="19"/>
          <w:szCs w:val="19"/>
        </w:rPr>
      </w:pPr>
      <w:hyperlink w:history="1" w:anchor="_23:_Compliance_Assistance">
        <w:r w:rsidRPr="00682E50">
          <w:rPr>
            <w:rStyle w:val="Hyperlink"/>
            <w:rFonts w:ascii="Aptos" w:hAnsi="Aptos" w:eastAsia="Twentieth Century" w:cs="Twentieth Century"/>
            <w:color w:val="1F497D" w:themeColor="text2"/>
            <w:sz w:val="19"/>
            <w:szCs w:val="19"/>
            <w:u w:val="none"/>
          </w:rPr>
          <w:t xml:space="preserve">23: </w:t>
        </w:r>
        <w:r w:rsidRPr="00682E50">
          <w:rPr>
            <w:rStyle w:val="Hyperlink"/>
            <w:rFonts w:ascii="Aptos" w:hAnsi="Aptos" w:eastAsia="Twentieth Century" w:cs="Twentieth Century"/>
            <w:color w:val="1F497D" w:themeColor="text2"/>
            <w:sz w:val="19"/>
            <w:szCs w:val="19"/>
            <w:u w:val="none"/>
          </w:rPr>
          <w:t xml:space="preserve">Programa</w:t>
        </w:r>
        <w:r w:rsidRPr="00682E50">
          <w:rPr>
            <w:rStyle w:val="Hyperlink"/>
            <w:rFonts w:ascii="Aptos" w:hAnsi="Aptos" w:eastAsia="Twentieth Century" w:cs="Twentieth Century"/>
            <w:color w:val="1F497D" w:themeColor="text2"/>
            <w:sz w:val="19"/>
            <w:szCs w:val="19"/>
            <w:u w:val="none"/>
          </w:rPr>
          <w:t xml:space="preserve"> de Asistencia para el Cumplimiento </w:t>
        </w:r>
        <w:r w:rsidRPr="00682E50">
          <w:rPr>
            <w:rStyle w:val="Hyperlink"/>
            <w:rFonts w:ascii="Aptos" w:hAnsi="Aptos" w:eastAsia="Twentieth Century" w:cs="Twentieth Century"/>
            <w:color w:val="1F497D" w:themeColor="text2"/>
            <w:sz w:val="19"/>
            <w:szCs w:val="19"/>
            <w:u w:val="none"/>
          </w:rPr>
          <w:t xml:space="preserve">(Decisión 20.26)</w:t>
        </w:r>
      </w:hyperlink>
    </w:p>
    <w:p w:rsidRPr="00682E50" w:rsidR="00682E50" w:rsidP="00682E50" w:rsidRDefault="00682E50" w14:paraId="332D2603" w14:textId="726BEF2D">
      <w:pPr>
        <w:shd w:val="clear" w:color="auto" w:fill="FFFFFF"/>
        <w:spacing w:line="240" w:lineRule="auto"/>
        <w:ind w:start="180"/>
        <w:rPr>
          <w:rFonts w:ascii="Aptos" w:hAnsi="Aptos" w:eastAsia="Twentieth Century" w:cs="Twentieth Century"/>
          <w:color w:val="1F497D" w:themeColor="text2"/>
          <w:sz w:val="19"/>
          <w:szCs w:val="19"/>
        </w:rPr>
      </w:pPr>
      <w:hyperlink w:history="1" w:anchor="_27:_Indigenous_peoples">
        <w:r w:rsidRPr="00682E50">
          <w:rPr>
            <w:rStyle w:val="Hyperlink"/>
            <w:rFonts w:ascii="Aptos" w:hAnsi="Aptos" w:eastAsia="Twentieth Century" w:cs="Twentieth Century"/>
            <w:color w:val="1F497D" w:themeColor="text2"/>
            <w:sz w:val="19"/>
            <w:szCs w:val="19"/>
            <w:u w:val="none"/>
          </w:rPr>
          <w:t xml:space="preserve">27: Pueblos indígenas y comunidades locales (Decisión 20.33)</w:t>
        </w:r>
      </w:hyperlink>
    </w:p>
    <w:p w:rsidRPr="00682E50" w:rsidR="00682E50" w:rsidP="00682E50" w:rsidRDefault="00682E50" w14:paraId="66180BCB" w14:textId="7A36DB41">
      <w:pPr>
        <w:shd w:val="clear" w:color="auto" w:fill="FFFFFF"/>
        <w:spacing w:line="240" w:lineRule="auto"/>
        <w:ind w:start="180"/>
        <w:rPr>
          <w:rFonts w:ascii="Aptos" w:hAnsi="Aptos" w:eastAsia="Twentieth Century" w:cs="Twentieth Century"/>
          <w:color w:val="1F497D" w:themeColor="text2"/>
          <w:sz w:val="19"/>
          <w:szCs w:val="19"/>
        </w:rPr>
      </w:pPr>
      <w:hyperlink w:history="1" w:anchor="_29:_Demand_reduction">
        <w:r w:rsidRPr="00682E50">
          <w:rPr>
            <w:rStyle w:val="Hyperlink"/>
            <w:rFonts w:ascii="Aptos" w:hAnsi="Aptos" w:eastAsia="Twentieth Century" w:cs="Twentieth Century"/>
            <w:color w:val="1F497D" w:themeColor="text2"/>
            <w:sz w:val="19"/>
            <w:szCs w:val="19"/>
            <w:u w:val="none"/>
          </w:rPr>
          <w:t xml:space="preserve">29: Reducción de la demanda para combatir el comercio ilegal (Decisión 20.39)</w:t>
        </w:r>
      </w:hyperlink>
    </w:p>
    <w:p w:rsidRPr="00682E50" w:rsidR="00682E50" w:rsidP="00682E50" w:rsidRDefault="00682E50" w14:paraId="43894842" w14:textId="5A07005C">
      <w:pPr>
        <w:shd w:val="clear" w:color="auto" w:fill="FFFFFF"/>
        <w:spacing w:line="240" w:lineRule="auto"/>
        <w:ind w:start="180"/>
        <w:rPr>
          <w:rFonts w:ascii="Aptos" w:hAnsi="Aptos" w:eastAsia="Twentieth Century" w:cs="Twentieth Century"/>
          <w:color w:val="1F497D" w:themeColor="text2"/>
          <w:sz w:val="19"/>
          <w:szCs w:val="19"/>
        </w:rPr>
      </w:pPr>
      <w:hyperlink w:history="1" w:anchor="_30:_National_laws">
        <w:r w:rsidRPr="00682E50">
          <w:rPr>
            <w:rStyle w:val="Hyperlink"/>
            <w:rFonts w:ascii="Aptos" w:hAnsi="Aptos" w:eastAsia="Twentieth Century" w:cs="Twentieth Century"/>
            <w:color w:val="1F497D" w:themeColor="text2"/>
            <w:sz w:val="19"/>
            <w:szCs w:val="19"/>
            <w:u w:val="none"/>
          </w:rPr>
          <w:t xml:space="preserve">30: Leyes nacionales para la aplicación de la Convención (Decisiones 20.42 a 20.44)</w:t>
        </w:r>
      </w:hyperlink>
    </w:p>
    <w:p w:rsidRPr="00682E50" w:rsidR="00682E50" w:rsidP="00682E50" w:rsidRDefault="00682E50" w14:paraId="69A2694A" w14:textId="49B34C93">
      <w:pPr>
        <w:shd w:val="clear" w:color="auto" w:fill="FFFFFF"/>
        <w:spacing w:line="240" w:lineRule="auto"/>
        <w:ind w:start="180"/>
        <w:rPr>
          <w:rFonts w:ascii="Aptos" w:hAnsi="Aptos" w:eastAsia="Twentieth Century" w:cs="Twentieth Century"/>
          <w:color w:val="1F497D" w:themeColor="text2"/>
          <w:sz w:val="19"/>
          <w:szCs w:val="19"/>
        </w:rPr>
      </w:pPr>
      <w:hyperlink w:history="1" w:anchor="_32.1:_Implementation_of">
        <w:r w:rsidRPr="00682E50">
          <w:rPr>
            <w:rStyle w:val="Hyperlink"/>
            <w:rFonts w:ascii="Aptos" w:hAnsi="Aptos" w:eastAsia="Twentieth Century" w:cs="Twentieth Century"/>
            <w:color w:val="1F497D" w:themeColor="text2"/>
            <w:sz w:val="19"/>
            <w:szCs w:val="19"/>
            <w:u w:val="none"/>
          </w:rPr>
          <w:t xml:space="preserve">32.1: Aplicación del artículo XIII y de la Resolución Conf. 14.3 (Rev. CoP19) sobre los procedimientos de cumplimiento de la CITES [Resolución Conf. 11.3 (Rev. CoP20), párrafo 23 c) – e)]</w:t>
        </w:r>
      </w:hyperlink>
    </w:p>
    <w:p w:rsidRPr="00682E50" w:rsidR="00682E50" w:rsidP="00682E50" w:rsidRDefault="00682E50" w14:paraId="16AE1C78" w14:textId="2CD232BE">
      <w:pPr>
        <w:shd w:val="clear" w:color="auto" w:fill="FFFFFF"/>
        <w:spacing w:line="240" w:lineRule="auto"/>
        <w:ind w:start="180"/>
        <w:rPr>
          <w:rFonts w:ascii="Aptos" w:hAnsi="Aptos" w:eastAsia="Twentieth Century" w:cs="Twentieth Century"/>
          <w:color w:val="1F497D" w:themeColor="text2"/>
          <w:sz w:val="19"/>
          <w:szCs w:val="19"/>
        </w:rPr>
      </w:pPr>
      <w:hyperlink w:history="1" w:anchor="_32.2:_Scope_and">
        <w:r w:rsidRPr="00682E50">
          <w:rPr>
            <w:rStyle w:val="Hyperlink"/>
            <w:rFonts w:ascii="Aptos" w:hAnsi="Aptos" w:eastAsia="Twentieth Century" w:cs="Twentieth Century"/>
            <w:color w:val="1F497D" w:themeColor="text2"/>
            <w:sz w:val="19"/>
            <w:szCs w:val="19"/>
            <w:u w:val="none"/>
          </w:rPr>
          <w:t xml:space="preserve">32.2: Alcance y aplicación de las recomendaciones de suspender el comercio (Decisión 20.46)</w:t>
        </w:r>
      </w:hyperlink>
    </w:p>
    <w:p w:rsidRPr="00682E50" w:rsidR="00682E50" w:rsidP="00682E50" w:rsidRDefault="00682E50" w14:paraId="3086E03E" w14:textId="185FF7D2">
      <w:pPr>
        <w:shd w:val="clear" w:color="auto" w:fill="FFFFFF"/>
        <w:spacing w:line="240" w:lineRule="auto"/>
        <w:ind w:start="180"/>
        <w:rPr>
          <w:rFonts w:ascii="Aptos" w:hAnsi="Aptos" w:eastAsia="Twentieth Century" w:cs="Twentieth Century"/>
          <w:color w:val="1F497D" w:themeColor="text2"/>
          <w:sz w:val="19"/>
          <w:szCs w:val="19"/>
        </w:rPr>
      </w:pPr>
      <w:hyperlink w:history="1" w:anchor="_32.3:_Addressing_compliance">
        <w:r w:rsidRPr="00682E50">
          <w:rPr>
            <w:rStyle w:val="Hyperlink"/>
            <w:rFonts w:ascii="Aptos" w:hAnsi="Aptos" w:eastAsia="Twentieth Century" w:cs="Twentieth Century"/>
            <w:color w:val="1F497D" w:themeColor="text2"/>
            <w:sz w:val="19"/>
            <w:szCs w:val="19"/>
            <w:u w:val="none"/>
          </w:rPr>
          <w:t xml:space="preserve">32.3: Trata de cuestiones de cumplimiento por parte del Comité Permanente (Decisión 20.47)</w:t>
        </w:r>
      </w:hyperlink>
    </w:p>
    <w:p w:rsidRPr="00682E50" w:rsidR="00682E50" w:rsidP="00682E50" w:rsidRDefault="00682E50" w14:paraId="41556A4A" w14:textId="6274B147">
      <w:pPr>
        <w:shd w:val="clear" w:color="auto" w:fill="FFFFFF"/>
        <w:spacing w:line="240" w:lineRule="auto"/>
        <w:ind w:start="180"/>
        <w:rPr>
          <w:rFonts w:ascii="Aptos" w:hAnsi="Aptos" w:eastAsia="Twentieth Century" w:cs="Twentieth Century"/>
          <w:color w:val="1F497D" w:themeColor="text2"/>
          <w:sz w:val="19"/>
          <w:szCs w:val="19"/>
        </w:rPr>
      </w:pPr>
      <w:hyperlink w:history="1" w:anchor="_33.2:_Application_of">
        <w:r w:rsidRPr="164385D1">
          <w:rPr>
            <w:rStyle w:val="Hyperlink"/>
            <w:rFonts w:ascii="Aptos" w:hAnsi="Aptos" w:eastAsia="Twentieth Century" w:cs="Twentieth Century"/>
            <w:color w:val="1F497D" w:themeColor="text2"/>
            <w:sz w:val="19"/>
            <w:szCs w:val="19"/>
            <w:u w:val="none"/>
          </w:rPr>
          <w:t xml:space="preserve">33.2: Aplicación del artículo XIII en Bangladés</w:t>
        </w:r>
      </w:hyperlink>
    </w:p>
    <w:p w:rsidRPr="00682E50" w:rsidR="00682E50" w:rsidP="00682E50" w:rsidRDefault="00682E50" w14:paraId="6F5D30F1" w14:textId="21B3EC7C">
      <w:pPr>
        <w:shd w:val="clear" w:color="auto" w:fill="FFFFFF"/>
        <w:spacing w:line="240" w:lineRule="auto"/>
        <w:ind w:start="180"/>
        <w:rPr>
          <w:rFonts w:ascii="Aptos" w:hAnsi="Aptos" w:eastAsia="Twentieth Century" w:cs="Twentieth Century"/>
          <w:color w:val="1F497D" w:themeColor="text2"/>
          <w:sz w:val="19"/>
          <w:szCs w:val="19"/>
        </w:rPr>
      </w:pPr>
      <w:hyperlink w:history="1" w:anchor="_33.5:_Application_of">
        <w:r w:rsidRPr="00682E50">
          <w:rPr>
            <w:rStyle w:val="Hyperlink"/>
            <w:rFonts w:ascii="Aptos" w:hAnsi="Aptos" w:eastAsia="Twentieth Century" w:cs="Twentieth Century"/>
            <w:color w:val="1F497D" w:themeColor="text2"/>
            <w:sz w:val="19"/>
            <w:szCs w:val="19"/>
            <w:u w:val="none"/>
          </w:rPr>
          <w:t xml:space="preserve">33.5: Aplicación del artículo XIII en la República Democrática del Congo</w:t>
        </w:r>
      </w:hyperlink>
    </w:p>
    <w:p w:rsidRPr="00682E50" w:rsidR="00682E50" w:rsidP="00682E50" w:rsidRDefault="00682E50" w14:paraId="652B72DA" w14:textId="4B6A42F8">
      <w:pPr>
        <w:shd w:val="clear" w:color="auto" w:fill="FFFFFF"/>
        <w:spacing w:line="240" w:lineRule="auto"/>
        <w:ind w:start="180"/>
        <w:rPr>
          <w:rFonts w:ascii="Aptos" w:hAnsi="Aptos" w:eastAsia="Twentieth Century" w:cs="Twentieth Century"/>
          <w:color w:val="1F497D" w:themeColor="text2"/>
          <w:sz w:val="19"/>
          <w:szCs w:val="19"/>
        </w:rPr>
      </w:pPr>
      <w:hyperlink w:history="1" w:anchor="_33.6:_Application_of">
        <w:r w:rsidRPr="00682E50">
          <w:rPr>
            <w:rStyle w:val="Hyperlink"/>
            <w:rFonts w:ascii="Aptos" w:hAnsi="Aptos" w:eastAsia="Twentieth Century" w:cs="Twentieth Century"/>
            <w:color w:val="1F497D" w:themeColor="text2"/>
            <w:sz w:val="19"/>
            <w:szCs w:val="19"/>
            <w:u w:val="none"/>
          </w:rPr>
          <w:t xml:space="preserve">33.6: Aplicación del artículo XIII en Ecuador y Perú</w:t>
        </w:r>
        <w:r w:rsidRPr="00682E50">
          <w:rPr>
            <w:rStyle w:val="Hyperlink"/>
            <w:rFonts w:ascii="Aptos" w:hAnsi="Aptos" w:eastAsia="Twentieth Century" w:cs="Twentieth Century"/>
            <w:color w:val="1F497D" w:themeColor="text2"/>
            <w:sz w:val="19"/>
            <w:szCs w:val="19"/>
            <w:u w:val="none"/>
          </w:rPr>
          <w:tab/>
        </w:r>
      </w:hyperlink>
    </w:p>
    <w:p w:rsidRPr="00682E50" w:rsidR="00682E50" w:rsidP="00682E50" w:rsidRDefault="00682E50" w14:paraId="4EE20536" w14:textId="3703D33E">
      <w:pPr>
        <w:shd w:val="clear" w:color="auto" w:fill="FFFFFF"/>
        <w:spacing w:line="240" w:lineRule="auto"/>
        <w:ind w:start="180"/>
        <w:rPr>
          <w:rFonts w:ascii="Aptos" w:hAnsi="Aptos" w:eastAsia="Twentieth Century" w:cs="Twentieth Century"/>
          <w:color w:val="1F497D" w:themeColor="text2"/>
          <w:sz w:val="19"/>
          <w:szCs w:val="19"/>
        </w:rPr>
      </w:pPr>
      <w:hyperlink w:history="1" w:anchor="_33.8._Application_of_1">
        <w:r w:rsidRPr="00682E50">
          <w:rPr>
            <w:rStyle w:val="Hyperlink"/>
            <w:rFonts w:ascii="Aptos" w:hAnsi="Aptos" w:eastAsia="Twentieth Century" w:cs="Twentieth Century"/>
            <w:color w:val="1F497D" w:themeColor="text2"/>
            <w:sz w:val="19"/>
            <w:szCs w:val="19"/>
            <w:u w:val="none"/>
          </w:rPr>
          <w:t xml:space="preserve">33.8. Aplicación del artículo XIII en la India</w:t>
        </w:r>
      </w:hyperlink>
    </w:p>
    <w:p w:rsidRPr="00682E50" w:rsidR="00682E50" w:rsidP="00682E50" w:rsidRDefault="00682E50" w14:paraId="4FEED7A9" w14:textId="4DEB31BC">
      <w:pPr>
        <w:shd w:val="clear" w:color="auto" w:fill="FFFFFF"/>
        <w:spacing w:line="240" w:lineRule="auto"/>
        <w:ind w:start="180"/>
        <w:rPr>
          <w:rFonts w:ascii="Aptos" w:hAnsi="Aptos" w:eastAsia="Twentieth Century" w:cs="Twentieth Century"/>
          <w:color w:val="1F497D" w:themeColor="text2"/>
          <w:sz w:val="19"/>
          <w:szCs w:val="19"/>
        </w:rPr>
      </w:pPr>
      <w:hyperlink w:history="1" w:anchor="_33.9:_Application_of">
        <w:r w:rsidRPr="00682E50">
          <w:rPr>
            <w:rStyle w:val="Hyperlink"/>
            <w:rFonts w:ascii="Aptos" w:hAnsi="Aptos" w:eastAsia="Twentieth Century" w:cs="Twentieth Century"/>
            <w:color w:val="1F497D" w:themeColor="text2"/>
            <w:sz w:val="19"/>
            <w:szCs w:val="19"/>
            <w:u w:val="none"/>
          </w:rPr>
          <w:t xml:space="preserve">33.9: Aplicación del artículo XIII en la República Democrática Popular de Laos</w:t>
        </w:r>
      </w:hyperlink>
    </w:p>
    <w:p w:rsidRPr="00682E50" w:rsidR="00682E50" w:rsidP="00682E50" w:rsidRDefault="00682E50" w14:paraId="18D44F94" w14:textId="280B7ABD">
      <w:pPr>
        <w:shd w:val="clear" w:color="auto" w:fill="FFFFFF"/>
        <w:spacing w:line="240" w:lineRule="auto"/>
        <w:ind w:start="180"/>
        <w:rPr>
          <w:rFonts w:ascii="Aptos" w:hAnsi="Aptos" w:eastAsia="Twentieth Century" w:cs="Twentieth Century"/>
          <w:color w:val="1F497D" w:themeColor="text2"/>
          <w:sz w:val="19"/>
          <w:szCs w:val="19"/>
        </w:rPr>
      </w:pPr>
      <w:hyperlink w:history="1" w:anchor="_33.10:_Application_of">
        <w:r w:rsidRPr="00682E50">
          <w:rPr>
            <w:rStyle w:val="Hyperlink"/>
            <w:rFonts w:ascii="Aptos" w:hAnsi="Aptos" w:eastAsia="Twentieth Century" w:cs="Twentieth Century"/>
            <w:color w:val="1F497D" w:themeColor="text2"/>
            <w:sz w:val="19"/>
            <w:szCs w:val="19"/>
            <w:u w:val="none"/>
          </w:rPr>
          <w:t xml:space="preserve">33.10: Aplicación del artículo XIII en Nigeria</w:t>
        </w:r>
      </w:hyperlink>
    </w:p>
    <w:p w:rsidRPr="00682E50" w:rsidR="00682E50" w:rsidP="00682E50" w:rsidRDefault="00682E50" w14:paraId="558E1944" w14:textId="1863ADCD">
      <w:pPr>
        <w:shd w:val="clear" w:color="auto" w:fill="FFFFFF"/>
        <w:spacing w:line="240" w:lineRule="auto"/>
        <w:ind w:start="180"/>
        <w:rPr>
          <w:rFonts w:ascii="Aptos" w:hAnsi="Aptos" w:eastAsia="Twentieth Century" w:cs="Twentieth Century"/>
          <w:color w:val="1F497D" w:themeColor="text2"/>
          <w:sz w:val="19"/>
          <w:szCs w:val="19"/>
        </w:rPr>
      </w:pPr>
      <w:hyperlink w:history="1" w:anchor="_34.1:_Implementation_of">
        <w:r w:rsidRPr="00682E50">
          <w:rPr>
            <w:rStyle w:val="Hyperlink"/>
            <w:rFonts w:ascii="Aptos" w:hAnsi="Aptos" w:eastAsia="Twentieth Century" w:cs="Twentieth Century"/>
            <w:color w:val="1F497D" w:themeColor="text2"/>
            <w:sz w:val="19"/>
            <w:szCs w:val="19"/>
            <w:u w:val="none"/>
          </w:rPr>
          <w:t xml:space="preserve">34.1: Implementación del proceso de los planes de acción nacionales sobre el marfil [(Resolución Conf. 10.10 (Rev. CoP20), Anexo 3)]</w:t>
        </w:r>
      </w:hyperlink>
    </w:p>
    <w:p w:rsidRPr="00682E50" w:rsidR="00682E50" w:rsidP="00682E50" w:rsidRDefault="00682E50" w14:paraId="476C38A5" w14:textId="52C71A76">
      <w:pPr>
        <w:shd w:val="clear" w:color="auto" w:fill="FFFFFF"/>
        <w:spacing w:line="240" w:lineRule="auto"/>
        <w:ind w:start="180"/>
        <w:rPr>
          <w:rFonts w:ascii="Aptos" w:hAnsi="Aptos" w:eastAsia="Twentieth Century" w:cs="Twentieth Century"/>
          <w:color w:val="1F497D" w:themeColor="text2"/>
          <w:sz w:val="19"/>
          <w:szCs w:val="19"/>
        </w:rPr>
      </w:pPr>
      <w:hyperlink w:history="1" w:anchor="_34.2:_Review_of">
        <w:r w:rsidRPr="00682E50">
          <w:rPr>
            <w:rStyle w:val="Hyperlink"/>
            <w:rFonts w:ascii="Aptos" w:hAnsi="Aptos" w:eastAsia="Twentieth Century" w:cs="Twentieth Century"/>
            <w:color w:val="1F497D" w:themeColor="text2"/>
            <w:sz w:val="19"/>
            <w:szCs w:val="19"/>
            <w:u w:val="none"/>
          </w:rPr>
          <w:t xml:space="preserve">34.2: Revisión del proceso de los planes de acción nacionales sobre el marfil (Decisión 20.101)</w:t>
        </w:r>
      </w:hyperlink>
    </w:p>
    <w:p w:rsidRPr="00682E50" w:rsidR="00682E50" w:rsidP="00682E50" w:rsidRDefault="00682E50" w14:paraId="1DC5DDD9" w14:textId="43566B4A">
      <w:pPr>
        <w:shd w:val="clear" w:color="auto" w:fill="FFFFFF"/>
        <w:spacing w:line="240" w:lineRule="auto"/>
        <w:ind w:start="180"/>
        <w:rPr>
          <w:rFonts w:ascii="Aptos" w:hAnsi="Aptos" w:eastAsia="Twentieth Century" w:cs="Twentieth Century"/>
          <w:color w:val="1F497D" w:themeColor="text2"/>
          <w:sz w:val="19"/>
          <w:szCs w:val="19"/>
        </w:rPr>
      </w:pPr>
      <w:hyperlink w:history="1" w:anchor="_34.4:_Guidance_on">
        <w:r w:rsidRPr="5403C073">
          <w:rPr>
            <w:rStyle w:val="Hyperlink"/>
            <w:rFonts w:ascii="Aptos" w:hAnsi="Aptos" w:eastAsia="Twentieth Century" w:cs="Twentieth Century"/>
            <w:color w:val="1F497D" w:themeColor="text2"/>
            <w:sz w:val="19"/>
            <w:szCs w:val="19"/>
            <w:u w:val="none"/>
          </w:rPr>
          <w:t xml:space="preserve">34.4: Orientación sobre las medidas de cumplimiento específicas de cada Parte basadas en el informe del ETIS (Decisión 20.102)</w:t>
        </w:r>
      </w:hyperlink>
    </w:p>
    <w:p w:rsidRPr="00682E50" w:rsidR="00682E50" w:rsidP="00682E50" w:rsidRDefault="00682E50" w14:paraId="085C653F" w14:textId="705B4C16">
      <w:pPr>
        <w:shd w:val="clear" w:color="auto" w:fill="FFFFFF"/>
        <w:spacing w:line="240" w:lineRule="auto"/>
        <w:ind w:start="180"/>
        <w:rPr>
          <w:rFonts w:ascii="Aptos" w:hAnsi="Aptos" w:eastAsia="Twentieth Century" w:cs="Twentieth Century"/>
          <w:color w:val="1F497D" w:themeColor="text2"/>
          <w:sz w:val="19"/>
          <w:szCs w:val="19"/>
        </w:rPr>
      </w:pPr>
      <w:hyperlink w:history="1" w:anchor="_36.1:_Overview_of">
        <w:r w:rsidRPr="00682E50">
          <w:rPr>
            <w:rStyle w:val="Hyperlink"/>
            <w:rFonts w:ascii="Aptos" w:hAnsi="Aptos" w:eastAsia="Twentieth Century" w:cs="Twentieth Century"/>
            <w:color w:val="1F497D" w:themeColor="text2"/>
            <w:sz w:val="19"/>
            <w:szCs w:val="19"/>
            <w:u w:val="none"/>
          </w:rPr>
          <w:t xml:space="preserve">36.1: Resumen del examen del comercio de especímenes de animales declarados como producidos en cautiverio</w:t>
        </w:r>
      </w:hyperlink>
    </w:p>
    <w:p w:rsidRPr="00682E50" w:rsidR="00682E50" w:rsidP="00682E50" w:rsidRDefault="00682E50" w14:paraId="5CEACA58" w14:textId="3E158311">
      <w:pPr>
        <w:shd w:val="clear" w:color="auto" w:fill="FFFFFF"/>
        <w:spacing w:line="240" w:lineRule="auto"/>
        <w:ind w:start="180"/>
        <w:rPr>
          <w:rFonts w:ascii="Aptos" w:hAnsi="Aptos" w:eastAsia="Twentieth Century" w:cs="Twentieth Century"/>
          <w:color w:val="1F497D" w:themeColor="text2"/>
          <w:sz w:val="19"/>
          <w:szCs w:val="19"/>
        </w:rPr>
      </w:pPr>
      <w:hyperlink w:history="1" w:anchor="_37.2._International_Consortium_1">
        <w:r w:rsidRPr="00682E50">
          <w:rPr>
            <w:rStyle w:val="Hyperlink"/>
            <w:rFonts w:ascii="Aptos" w:hAnsi="Aptos" w:eastAsia="Twentieth Century" w:cs="Twentieth Century"/>
            <w:color w:val="1F497D" w:themeColor="text2"/>
            <w:sz w:val="19"/>
            <w:szCs w:val="19"/>
            <w:u w:val="none"/>
          </w:rPr>
          <w:t xml:space="preserve">37.2. Consorcio Internacional para la Lucha contra los Delitos contra la Vida Silvestre</w:t>
        </w:r>
      </w:hyperlink>
    </w:p>
    <w:p w:rsidRPr="00682E50" w:rsidR="00682E50" w:rsidP="00682E50" w:rsidRDefault="00682E50" w14:paraId="36618090" w14:textId="30B6874F">
      <w:pPr>
        <w:shd w:val="clear" w:color="auto" w:fill="FFFFFF"/>
        <w:spacing w:line="240" w:lineRule="auto"/>
        <w:ind w:start="180"/>
        <w:rPr>
          <w:rFonts w:ascii="Aptos" w:hAnsi="Aptos" w:eastAsia="Twentieth Century" w:cs="Twentieth Century"/>
          <w:color w:val="1F497D" w:themeColor="text2"/>
          <w:sz w:val="19"/>
          <w:szCs w:val="19"/>
        </w:rPr>
      </w:pPr>
      <w:hyperlink w:history="1" w:anchor="_37.3_Wildlife_crime">
        <w:r w:rsidRPr="00682E50">
          <w:rPr>
            <w:rStyle w:val="Hyperlink"/>
            <w:rFonts w:ascii="Aptos" w:hAnsi="Aptos" w:eastAsia="Twentieth Century" w:cs="Twentieth Century"/>
            <w:color w:val="1F497D" w:themeColor="text2"/>
            <w:sz w:val="19"/>
            <w:szCs w:val="19"/>
            <w:u w:val="none"/>
          </w:rPr>
          <w:t xml:space="preserve">37.3 Delitos contra la vida silvestre vinculados a Internet (Decisión 20.62)</w:t>
        </w:r>
      </w:hyperlink>
    </w:p>
    <w:p w:rsidRPr="00682E50" w:rsidR="00682E50" w:rsidP="00682E50" w:rsidRDefault="00682E50" w14:paraId="558DF20C" w14:textId="0A9CEDBF">
      <w:pPr>
        <w:shd w:val="clear" w:color="auto" w:fill="FFFFFF"/>
        <w:spacing w:line="240" w:lineRule="auto"/>
        <w:ind w:start="180"/>
        <w:rPr>
          <w:rFonts w:ascii="Aptos" w:hAnsi="Aptos" w:eastAsia="Twentieth Century" w:cs="Twentieth Century"/>
          <w:color w:val="1F497D" w:themeColor="text2"/>
          <w:sz w:val="19"/>
          <w:szCs w:val="19"/>
        </w:rPr>
      </w:pPr>
      <w:hyperlink w:history="1" w:anchor="_39._Rhinoceroses_(Rhinocerotidae">
        <w:r w:rsidRPr="00682E50">
          <w:rPr>
            <w:rStyle w:val="Hyperlink"/>
            <w:rFonts w:ascii="Aptos" w:hAnsi="Aptos" w:eastAsia="Twentieth Century" w:cs="Twentieth Century"/>
            <w:color w:val="1F497D" w:themeColor="text2"/>
            <w:sz w:val="19"/>
            <w:szCs w:val="19"/>
            <w:u w:val="none"/>
          </w:rPr>
          <w:t xml:space="preserve">39. Rinocerontes (</w:t>
        </w:r>
        <w:r w:rsidRPr="00682E50">
          <w:rPr>
            <w:rStyle w:val="Hyperlink"/>
            <w:rFonts w:ascii="Aptos" w:hAnsi="Aptos" w:eastAsia="Twentieth Century" w:cs="Twentieth Century"/>
            <w:color w:val="1F497D" w:themeColor="text2"/>
            <w:sz w:val="19"/>
            <w:szCs w:val="19"/>
            <w:u w:val="none"/>
          </w:rPr>
          <w:t xml:space="preserve">Rhinocerotidae </w:t>
        </w:r>
        <w:r w:rsidRPr="00682E50">
          <w:rPr>
            <w:rStyle w:val="Hyperlink"/>
            <w:rFonts w:ascii="Aptos" w:hAnsi="Aptos" w:eastAsia="Twentieth Century" w:cs="Twentieth Century"/>
            <w:color w:val="1F497D" w:themeColor="text2"/>
            <w:sz w:val="19"/>
            <w:szCs w:val="19"/>
            <w:u w:val="none"/>
          </w:rPr>
          <w:t xml:space="preserve">spp.) (Decisión 20.84)</w:t>
        </w:r>
      </w:hyperlink>
    </w:p>
    <w:p w:rsidRPr="00682E50" w:rsidR="00682E50" w:rsidP="00682E50" w:rsidRDefault="00682E50" w14:paraId="418B991D" w14:textId="453454A7">
      <w:pPr>
        <w:shd w:val="clear" w:color="auto" w:fill="FFFFFF"/>
        <w:spacing w:line="240" w:lineRule="auto"/>
        <w:ind w:start="180"/>
        <w:rPr>
          <w:rFonts w:ascii="Aptos" w:hAnsi="Aptos" w:eastAsia="Twentieth Century" w:cs="Twentieth Century"/>
          <w:color w:val="1F497D" w:themeColor="text2"/>
          <w:sz w:val="19"/>
          <w:szCs w:val="19"/>
        </w:rPr>
      </w:pPr>
      <w:hyperlink w:history="1" w:anchor="_40._Tortoises_and">
        <w:r w:rsidRPr="00682E50">
          <w:rPr>
            <w:rStyle w:val="Hyperlink"/>
            <w:rFonts w:ascii="Aptos" w:hAnsi="Aptos" w:eastAsia="Twentieth Century" w:cs="Twentieth Century"/>
            <w:color w:val="1F497D" w:themeColor="text2"/>
            <w:sz w:val="19"/>
            <w:szCs w:val="19"/>
            <w:u w:val="none"/>
          </w:rPr>
          <w:t xml:space="preserve">40. Tortugas terrestres y de agua dulce (Testudines spp.) de Madagascar (Decisión 20.91)</w:t>
        </w:r>
      </w:hyperlink>
    </w:p>
    <w:p w:rsidRPr="00682E50" w:rsidR="00682E50" w:rsidP="00682E50" w:rsidRDefault="00682E50" w14:paraId="237DD6D0" w14:textId="2A25C97A">
      <w:pPr>
        <w:shd w:val="clear" w:color="auto" w:fill="FFFFFF"/>
        <w:spacing w:line="240" w:lineRule="auto"/>
        <w:ind w:start="180"/>
        <w:rPr>
          <w:rFonts w:ascii="Aptos" w:hAnsi="Aptos" w:eastAsia="Twentieth Century" w:cs="Twentieth Century"/>
          <w:color w:val="1F497D" w:themeColor="text2"/>
          <w:sz w:val="19"/>
          <w:szCs w:val="19"/>
        </w:rPr>
      </w:pPr>
      <w:hyperlink w:history="1" w:anchor="_41._Implementation_of">
        <w:r w:rsidRPr="00682E50">
          <w:rPr>
            <w:rStyle w:val="Hyperlink"/>
            <w:rFonts w:ascii="Aptos" w:hAnsi="Aptos" w:eastAsia="Twentieth Century" w:cs="Twentieth Century"/>
            <w:color w:val="1F497D" w:themeColor="text2"/>
            <w:sz w:val="19"/>
            <w:szCs w:val="19"/>
            <w:u w:val="none"/>
          </w:rPr>
          <w:t xml:space="preserve">41. Aplicación de las recomendaciones derivadas del examen del </w:t>
        </w:r>
        <w:r w:rsidRPr="00682E50">
          <w:rPr>
            <w:rStyle w:val="Hyperlink"/>
            <w:rFonts w:ascii="Aptos" w:hAnsi="Aptos" w:eastAsia="Twentieth Century" w:cs="Twentieth Century"/>
            <w:color w:val="1F497D" w:themeColor="text2"/>
            <w:sz w:val="19"/>
            <w:szCs w:val="19"/>
            <w:u w:val="none"/>
          </w:rPr>
          <w:t xml:space="preserve">programa</w:t>
        </w:r>
        <w:r w:rsidRPr="00682E50">
          <w:rPr>
            <w:rStyle w:val="Hyperlink"/>
            <w:rFonts w:ascii="Aptos" w:hAnsi="Aptos" w:eastAsia="Twentieth Century" w:cs="Twentieth Century"/>
            <w:color w:val="1F497D" w:themeColor="text2"/>
            <w:sz w:val="19"/>
            <w:szCs w:val="19"/>
            <w:u w:val="none"/>
          </w:rPr>
          <w:t xml:space="preserve"> ETIS </w:t>
        </w:r>
        <w:r w:rsidRPr="00682E50">
          <w:rPr>
            <w:rStyle w:val="Hyperlink"/>
            <w:rFonts w:ascii="Aptos" w:hAnsi="Aptos" w:eastAsia="Twentieth Century" w:cs="Twentieth Century"/>
            <w:color w:val="1F497D" w:themeColor="text2"/>
            <w:sz w:val="19"/>
            <w:szCs w:val="19"/>
            <w:u w:val="none"/>
          </w:rPr>
          <w:t xml:space="preserve">(Decisiones 19.96, 20.94, 20.98 y 20.103)</w:t>
        </w:r>
      </w:hyperlink>
    </w:p>
    <w:p w:rsidRPr="00682E50" w:rsidR="00682E50" w:rsidP="00682E50" w:rsidRDefault="00682E50" w14:paraId="2DA6A4E8" w14:textId="0362B10D">
      <w:pPr>
        <w:shd w:val="clear" w:color="auto" w:fill="FFFFFF"/>
        <w:spacing w:line="240" w:lineRule="auto"/>
        <w:ind w:start="180"/>
        <w:rPr>
          <w:rFonts w:ascii="Aptos" w:hAnsi="Aptos" w:eastAsia="Twentieth Century" w:cs="Twentieth Century"/>
          <w:color w:val="1F497D" w:themeColor="text2"/>
          <w:sz w:val="19"/>
          <w:szCs w:val="19"/>
        </w:rPr>
      </w:pPr>
      <w:hyperlink w:history="1" w:anchor="_43._Legal_acquisition">
        <w:r w:rsidRPr="00682E50">
          <w:rPr>
            <w:rStyle w:val="Hyperlink"/>
            <w:rFonts w:ascii="Aptos" w:hAnsi="Aptos" w:eastAsia="Twentieth Century" w:cs="Twentieth Century"/>
            <w:color w:val="1F497D" w:themeColor="text2"/>
            <w:sz w:val="19"/>
            <w:szCs w:val="19"/>
            <w:u w:val="none"/>
          </w:rPr>
          <w:t xml:space="preserve">43. Conclusiones sobre la adquisición legal</w:t>
        </w:r>
      </w:hyperlink>
    </w:p>
    <w:p w:rsidRPr="00682E50" w:rsidR="00682E50" w:rsidP="00682E50" w:rsidRDefault="00682E50" w14:paraId="6D112CB9" w14:textId="2F329173">
      <w:pPr>
        <w:shd w:val="clear" w:color="auto" w:fill="FFFFFF"/>
        <w:spacing w:line="240" w:lineRule="auto"/>
        <w:ind w:start="180"/>
        <w:rPr>
          <w:rFonts w:ascii="Aptos" w:hAnsi="Aptos" w:eastAsia="Twentieth Century" w:cs="Twentieth Century"/>
          <w:color w:val="1F497D" w:themeColor="text2"/>
          <w:sz w:val="19"/>
          <w:szCs w:val="19"/>
        </w:rPr>
      </w:pPr>
      <w:hyperlink w:history="1" w:anchor="_43.1._Report_of">
        <w:r w:rsidRPr="00682E50">
          <w:rPr>
            <w:rStyle w:val="Hyperlink"/>
            <w:rFonts w:ascii="Aptos" w:hAnsi="Aptos" w:eastAsia="Twentieth Century" w:cs="Twentieth Century"/>
            <w:color w:val="1F497D" w:themeColor="text2"/>
            <w:sz w:val="19"/>
            <w:szCs w:val="19"/>
            <w:u w:val="none"/>
          </w:rPr>
          <w:t xml:space="preserve">43.1. Informe del grupo de trabajo (Decisión 20.112)</w:t>
        </w:r>
      </w:hyperlink>
    </w:p>
    <w:p w:rsidRPr="00682E50" w:rsidR="00682E50" w:rsidP="00682E50" w:rsidRDefault="00682E50" w14:paraId="46EDAA3F" w14:textId="0B928A39">
      <w:pPr>
        <w:shd w:val="clear" w:color="auto" w:fill="FFFFFF"/>
        <w:spacing w:line="240" w:lineRule="auto"/>
        <w:ind w:start="180"/>
        <w:rPr>
          <w:rFonts w:ascii="Aptos" w:hAnsi="Aptos" w:eastAsia="Twentieth Century" w:cs="Twentieth Century"/>
          <w:color w:val="1F497D" w:themeColor="text2"/>
          <w:sz w:val="19"/>
          <w:szCs w:val="19"/>
        </w:rPr>
      </w:pPr>
      <w:hyperlink w:history="1" w:anchor="_43.2._Report_of">
        <w:r w:rsidRPr="00682E50">
          <w:rPr>
            <w:rStyle w:val="Hyperlink"/>
            <w:rFonts w:ascii="Aptos" w:hAnsi="Aptos" w:eastAsia="Twentieth Century" w:cs="Twentieth Century"/>
            <w:color w:val="1F497D" w:themeColor="text2"/>
            <w:sz w:val="19"/>
            <w:szCs w:val="19"/>
            <w:u w:val="none"/>
          </w:rPr>
          <w:t xml:space="preserve">43.2. Informe de la Secretaría (Decisión 20.110)</w:t>
        </w:r>
      </w:hyperlink>
    </w:p>
    <w:p w:rsidRPr="00682E50" w:rsidR="00682E50" w:rsidP="00682E50" w:rsidRDefault="00682E50" w14:paraId="26A90216" w14:textId="4727E92F">
      <w:pPr>
        <w:shd w:val="clear" w:color="auto" w:fill="FFFFFF"/>
        <w:spacing w:line="240" w:lineRule="auto"/>
        <w:ind w:start="180"/>
        <w:rPr>
          <w:rFonts w:ascii="Aptos" w:hAnsi="Aptos" w:eastAsia="Twentieth Century" w:cs="Twentieth Century"/>
          <w:color w:val="1F497D" w:themeColor="text2"/>
          <w:sz w:val="19"/>
          <w:szCs w:val="19"/>
        </w:rPr>
      </w:pPr>
      <w:hyperlink w:history="1" w:anchor="_46._Guidance_related">
        <w:r w:rsidRPr="00682E50">
          <w:rPr>
            <w:rStyle w:val="Hyperlink"/>
            <w:rFonts w:ascii="Aptos" w:hAnsi="Aptos" w:eastAsia="Twentieth Century" w:cs="Twentieth Century"/>
            <w:color w:val="1F497D" w:themeColor="text2"/>
            <w:sz w:val="19"/>
            <w:szCs w:val="19"/>
            <w:u w:val="none"/>
          </w:rPr>
          <w:t xml:space="preserve">46. Orientaciones relativas a los períodos de transición (Decisión 20.119)</w:t>
        </w:r>
      </w:hyperlink>
    </w:p>
    <w:p w:rsidRPr="00682E50" w:rsidR="00682E50" w:rsidP="00682E50" w:rsidRDefault="00682E50" w14:paraId="3CC1DF9B" w14:textId="3345A4C2">
      <w:pPr>
        <w:shd w:val="clear" w:color="auto" w:fill="FFFFFF"/>
        <w:spacing w:line="240" w:lineRule="auto"/>
        <w:ind w:start="180"/>
        <w:rPr>
          <w:rFonts w:ascii="Aptos" w:hAnsi="Aptos" w:eastAsia="Twentieth Century" w:cs="Twentieth Century"/>
          <w:color w:val="1F497D" w:themeColor="text2"/>
          <w:sz w:val="19"/>
          <w:szCs w:val="19"/>
        </w:rPr>
      </w:pPr>
      <w:hyperlink w:history="1" w:anchor="_48._Electronic_systems">
        <w:r w:rsidRPr="00682E50">
          <w:rPr>
            <w:rStyle w:val="Hyperlink"/>
            <w:rFonts w:ascii="Aptos" w:hAnsi="Aptos" w:eastAsia="Twentieth Century" w:cs="Twentieth Century"/>
            <w:color w:val="1F497D" w:themeColor="text2"/>
            <w:sz w:val="19"/>
            <w:szCs w:val="19"/>
            <w:u w:val="none"/>
          </w:rPr>
          <w:t xml:space="preserve">48. Sistemas electrónicos y tecnología de la información (Decisión 20.128)</w:t>
        </w:r>
      </w:hyperlink>
    </w:p>
    <w:p w:rsidRPr="00682E50" w:rsidR="00682E50" w:rsidP="00682E50" w:rsidRDefault="00682E50" w14:paraId="74AC2070" w14:textId="43A6B396">
      <w:pPr>
        <w:shd w:val="clear" w:color="auto" w:fill="FFFFFF"/>
        <w:spacing w:line="240" w:lineRule="auto"/>
        <w:ind w:start="180"/>
        <w:rPr>
          <w:rFonts w:ascii="Aptos" w:hAnsi="Aptos" w:eastAsia="Twentieth Century" w:cs="Twentieth Century"/>
          <w:color w:val="1F497D" w:themeColor="text2"/>
          <w:sz w:val="19"/>
          <w:szCs w:val="19"/>
        </w:rPr>
      </w:pPr>
      <w:hyperlink w:history="1" w:anchor="_51._Specimens_produced">
        <w:r w:rsidRPr="00682E50">
          <w:rPr>
            <w:rStyle w:val="Hyperlink"/>
            <w:rFonts w:ascii="Aptos" w:hAnsi="Aptos" w:eastAsia="Twentieth Century" w:cs="Twentieth Century"/>
            <w:color w:val="1F497D" w:themeColor="text2"/>
            <w:sz w:val="19"/>
            <w:szCs w:val="19"/>
            <w:u w:val="none"/>
          </w:rPr>
          <w:t xml:space="preserve">51. Especímenes producidos mediante biotecnología [Decisión 19.161 (Rev. CoP20)]</w:t>
        </w:r>
      </w:hyperlink>
    </w:p>
    <w:p w:rsidRPr="00682E50" w:rsidR="00682E50" w:rsidP="00682E50" w:rsidRDefault="00682E50" w14:paraId="6B7F1226" w14:textId="6797DA73">
      <w:pPr>
        <w:shd w:val="clear" w:color="auto" w:fill="FFFFFF"/>
        <w:spacing w:line="240" w:lineRule="auto"/>
        <w:ind w:start="180"/>
        <w:rPr>
          <w:rFonts w:ascii="Aptos" w:hAnsi="Aptos" w:eastAsia="Twentieth Century" w:cs="Twentieth Century"/>
          <w:color w:val="1F497D" w:themeColor="text2"/>
          <w:sz w:val="19"/>
          <w:szCs w:val="19"/>
        </w:rPr>
      </w:pPr>
      <w:hyperlink w:history="1" w:anchor="_53.2._Registration_of">
        <w:r w:rsidRPr="00682E50">
          <w:rPr>
            <w:rStyle w:val="Hyperlink"/>
            <w:rFonts w:ascii="Aptos" w:hAnsi="Aptos" w:eastAsia="Twentieth Century" w:cs="Twentieth Century"/>
            <w:color w:val="1F497D" w:themeColor="text2"/>
            <w:sz w:val="19"/>
            <w:szCs w:val="19"/>
            <w:u w:val="none"/>
          </w:rPr>
          <w:t xml:space="preserve">53.2. Registro de la operación «Special Turtles» (Italia) </w:t>
        </w:r>
      </w:hyperlink>
    </w:p>
    <w:p w:rsidRPr="00682E50" w:rsidR="00682E50" w:rsidP="00682E50" w:rsidRDefault="00682E50" w14:paraId="04E8387D" w14:textId="0067BE50">
      <w:pPr>
        <w:shd w:val="clear" w:color="auto" w:fill="FFFFFF"/>
        <w:spacing w:line="240" w:lineRule="auto"/>
        <w:ind w:start="180"/>
        <w:rPr>
          <w:rFonts w:ascii="Aptos" w:hAnsi="Aptos" w:eastAsia="Twentieth Century" w:cs="Twentieth Century"/>
          <w:color w:val="1F497D" w:themeColor="text2"/>
          <w:sz w:val="19"/>
          <w:szCs w:val="19"/>
        </w:rPr>
      </w:pPr>
      <w:hyperlink w:history="1" w:anchor="_55._Trade_in">
        <w:r w:rsidRPr="00682E50">
          <w:rPr>
            <w:rStyle w:val="Hyperlink"/>
            <w:rFonts w:ascii="Aptos" w:hAnsi="Aptos" w:eastAsia="Twentieth Century" w:cs="Twentieth Century"/>
            <w:color w:val="1F497D" w:themeColor="text2"/>
            <w:sz w:val="19"/>
            <w:szCs w:val="19"/>
            <w:u w:val="none"/>
          </w:rPr>
          <w:t xml:space="preserve">55. Comercio de especies endémicas amenazadas (Decisión 20.151)</w:t>
        </w:r>
      </w:hyperlink>
    </w:p>
    <w:p w:rsidRPr="00682E50" w:rsidR="00682E50" w:rsidP="00682E50" w:rsidRDefault="00682E50" w14:paraId="5BCBD07A" w14:textId="5DD65AB9">
      <w:pPr>
        <w:shd w:val="clear" w:color="auto" w:fill="FFFFFF"/>
        <w:spacing w:line="240" w:lineRule="auto"/>
        <w:ind w:start="180"/>
        <w:rPr>
          <w:rFonts w:ascii="Aptos" w:hAnsi="Aptos" w:eastAsia="Twentieth Century" w:cs="Twentieth Century"/>
          <w:color w:val="1F497D" w:themeColor="text2"/>
          <w:sz w:val="19"/>
          <w:szCs w:val="19"/>
        </w:rPr>
      </w:pPr>
      <w:hyperlink w:history="1" w:anchor="56. Elephants (Elephantidae spp.): Report of the Secretariat on the implementation of Resolution Conf. 10.10 (Rev. CoP20) [Resolution Conf. 10.10 (Rev. CoP20) paragraphs 12), 19) and Decisions 19.36, 18.117 (Rev. CoP20), 18.185 (Rev. CoP20), 20.104 &amp; 20.1">
        <w:r w:rsidRPr="00682E50">
          <w:rPr>
            <w:rStyle w:val="Hyperlink"/>
            <w:rFonts w:ascii="Aptos" w:hAnsi="Aptos" w:eastAsia="Twentieth Century" w:cs="Twentieth Century"/>
            <w:color w:val="1F497D" w:themeColor="text2"/>
            <w:sz w:val="19"/>
            <w:szCs w:val="19"/>
            <w:u w:val="none"/>
          </w:rPr>
          <w:t xml:space="preserve">56. Elefantes (Elephantidae spp.): Informe de la Secretaría sobre la aplicación de la Resolución Conf. 10.10 (Rev. CoP20) [Resolución Conf. 10.10 (Rev. CoP20), párrafos 12) y 19), y Decisiones 19.36, 18.117 (Rev. CoP20), 18.185 (Rev. CoP20), 20.104 y 20.1</w:t>
        </w:r>
      </w:hyperlink>
    </w:p>
    <w:p w:rsidRPr="00682E50" w:rsidR="00682E50" w:rsidP="00682E50" w:rsidRDefault="00682E50" w14:paraId="3509B395" w14:textId="1E044325">
      <w:pPr>
        <w:shd w:val="clear" w:color="auto" w:fill="FFFFFF"/>
        <w:spacing w:line="240" w:lineRule="auto"/>
        <w:ind w:start="180"/>
        <w:rPr>
          <w:rFonts w:ascii="Aptos" w:hAnsi="Aptos" w:eastAsia="Twentieth Century" w:cs="Twentieth Century"/>
          <w:color w:val="1F497D" w:themeColor="text2"/>
          <w:sz w:val="19"/>
          <w:szCs w:val="19"/>
        </w:rPr>
      </w:pPr>
      <w:hyperlink w:history="1" w:anchor="_57._Jaguars_(Panthera">
        <w:r w:rsidRPr="00682E50">
          <w:rPr>
            <w:rStyle w:val="Hyperlink"/>
            <w:rFonts w:ascii="Aptos" w:hAnsi="Aptos" w:eastAsia="Twentieth Century" w:cs="Twentieth Century"/>
            <w:color w:val="1F497D" w:themeColor="text2"/>
            <w:sz w:val="19"/>
            <w:szCs w:val="19"/>
            <w:u w:val="none"/>
          </w:rPr>
          <w:t xml:space="preserve">57. Jaguares (Panthera onca) (Decisión 20.188)</w:t>
        </w:r>
      </w:hyperlink>
      <w:r w:rsidRPr="00682E50">
        <w:rPr>
          <w:rFonts w:ascii="Aptos" w:hAnsi="Aptos" w:eastAsia="Twentieth Century" w:cs="Twentieth Century"/>
          <w:color w:val="1F497D" w:themeColor="text2"/>
          <w:sz w:val="19"/>
          <w:szCs w:val="19"/>
        </w:rPr>
        <w:t xml:space="preserve"> </w:t>
      </w:r>
    </w:p>
    <w:p w:rsidRPr="00682E50" w:rsidR="00682E50" w:rsidP="00682E50" w:rsidRDefault="00682E50" w14:paraId="503B3E1C" w14:textId="64F178F2">
      <w:pPr>
        <w:shd w:val="clear" w:color="auto" w:fill="FFFFFF"/>
        <w:spacing w:line="240" w:lineRule="auto"/>
        <w:ind w:start="180"/>
        <w:rPr>
          <w:rFonts w:ascii="Aptos" w:hAnsi="Aptos" w:eastAsia="Twentieth Century" w:cs="Twentieth Century"/>
          <w:color w:val="1F497D" w:themeColor="text2"/>
          <w:sz w:val="19"/>
          <w:szCs w:val="19"/>
        </w:rPr>
      </w:pPr>
      <w:hyperlink w:history="1" w:anchor="_58._Implementation_of_1">
        <w:r w:rsidRPr="00682E50">
          <w:rPr>
            <w:rStyle w:val="Hyperlink"/>
            <w:rFonts w:ascii="Aptos" w:hAnsi="Aptos" w:eastAsia="Twentieth Century" w:cs="Twentieth Century"/>
            <w:color w:val="1F497D" w:themeColor="text2"/>
            <w:sz w:val="19"/>
            <w:szCs w:val="19"/>
            <w:u w:val="none"/>
          </w:rPr>
          <w:t xml:space="preserve">58. Aplicación de la Resolución Conf. 12.5 (Rev. CoP20): Tigres (Panthera </w:t>
        </w:r>
        <w:r w:rsidRPr="00682E50">
          <w:rPr>
            <w:rStyle w:val="Hyperlink"/>
            <w:rFonts w:ascii="Aptos" w:hAnsi="Aptos" w:eastAsia="Twentieth Century" w:cs="Twentieth Century"/>
            <w:color w:val="1F497D" w:themeColor="text2"/>
            <w:sz w:val="19"/>
            <w:szCs w:val="19"/>
            <w:u w:val="none"/>
          </w:rPr>
          <w:t xml:space="preserve">tigris</w:t>
        </w:r>
        <w:r w:rsidRPr="00682E50">
          <w:rPr>
            <w:rStyle w:val="Hyperlink"/>
            <w:rFonts w:ascii="Aptos" w:hAnsi="Aptos" w:eastAsia="Twentieth Century" w:cs="Twentieth Century"/>
            <w:color w:val="1F497D" w:themeColor="text2"/>
            <w:sz w:val="19"/>
            <w:szCs w:val="19"/>
            <w:u w:val="none"/>
          </w:rPr>
          <w:t xml:space="preserve">) en cautiverio (Decisión 20.189)</w:t>
        </w:r>
      </w:hyperlink>
    </w:p>
    <w:p w:rsidRPr="00682E50" w:rsidR="00682E50" w:rsidP="00682E50" w:rsidRDefault="00682E50" w14:paraId="0BCA8FFE" w14:textId="09E7F7E2">
      <w:pPr>
        <w:shd w:val="clear" w:color="auto" w:fill="FFFFFF"/>
        <w:spacing w:line="240" w:lineRule="auto"/>
        <w:ind w:start="180"/>
        <w:rPr>
          <w:rFonts w:ascii="Aptos" w:hAnsi="Aptos" w:eastAsia="Twentieth Century" w:cs="Twentieth Century"/>
          <w:color w:val="1F497D" w:themeColor="text2"/>
          <w:sz w:val="19"/>
          <w:szCs w:val="19"/>
        </w:rPr>
      </w:pPr>
      <w:hyperlink w:history="1" w:anchor="_59._Saiga_antelopes">
        <w:r w:rsidRPr="00682E50">
          <w:rPr>
            <w:rStyle w:val="Hyperlink"/>
            <w:rFonts w:ascii="Aptos" w:hAnsi="Aptos" w:eastAsia="Twentieth Century" w:cs="Twentieth Century"/>
            <w:color w:val="1F497D" w:themeColor="text2"/>
            <w:sz w:val="19"/>
            <w:szCs w:val="19"/>
            <w:u w:val="none"/>
          </w:rPr>
          <w:t xml:space="preserve">59. Antílopes saiga (Saiga spp.) [Decisión 19.216 (Rev. CoP20)]</w:t>
        </w:r>
      </w:hyperlink>
      <w:r w:rsidRPr="00682E50">
        <w:rPr>
          <w:rFonts w:ascii="Aptos" w:hAnsi="Aptos" w:eastAsia="Twentieth Century" w:cs="Twentieth Century"/>
          <w:color w:val="1F497D" w:themeColor="text2"/>
          <w:sz w:val="19"/>
          <w:szCs w:val="19"/>
        </w:rPr>
        <w:t xml:space="preserve"> </w:t>
      </w:r>
    </w:p>
    <w:p w:rsidR="00682E50" w:rsidP="00682E50" w:rsidRDefault="00682E50" w14:paraId="7502B240" w14:textId="15AA8B8F">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682E50">
          <w:rPr>
            <w:rStyle w:val="Hyperlink"/>
            <w:rFonts w:ascii="Aptos" w:hAnsi="Aptos" w:eastAsia="Twentieth Century" w:cs="Twentieth Century"/>
            <w:color w:val="1F497D" w:themeColor="text2"/>
            <w:sz w:val="19"/>
            <w:szCs w:val="19"/>
            <w:u w:val="none"/>
          </w:rPr>
          <w:t xml:space="preserve">60. Tiburones y rayas (</w:t>
        </w:r>
        <w:r w:rsidRPr="00682E50">
          <w:rPr>
            <w:rStyle w:val="Hyperlink"/>
            <w:rFonts w:ascii="Aptos" w:hAnsi="Aptos" w:eastAsia="Twentieth Century" w:cs="Twentieth Century"/>
            <w:color w:val="1F497D" w:themeColor="text2"/>
            <w:sz w:val="19"/>
            <w:szCs w:val="19"/>
            <w:u w:val="none"/>
          </w:rPr>
          <w:t xml:space="preserve">Elasmobranchii </w:t>
        </w:r>
        <w:r w:rsidRPr="00682E50">
          <w:rPr>
            <w:rStyle w:val="Hyperlink"/>
            <w:rFonts w:ascii="Aptos" w:hAnsi="Aptos" w:eastAsia="Twentieth Century" w:cs="Twentieth Century"/>
            <w:color w:val="1F497D" w:themeColor="text2"/>
            <w:sz w:val="19"/>
            <w:szCs w:val="19"/>
            <w:u w:val="none"/>
          </w:rPr>
          <w:t xml:space="preserve">spp.) (Decisiones 20.211 y 20.212)</w:t>
        </w:r>
      </w:hyperlink>
      <w:r w:rsidRPr="00682E50">
        <w:rPr>
          <w:rFonts w:ascii="Aptos" w:hAnsi="Aptos" w:eastAsia="Twentieth Century" w:cs="Twentieth Century"/>
          <w:color w:val="1F497D" w:themeColor="text2"/>
          <w:sz w:val="19"/>
          <w:szCs w:val="19"/>
        </w:rPr>
        <w:t xml:space="preserve"> </w:t>
      </w:r>
    </w:p>
    <w:p w:rsidRPr="00395EA8" w:rsidR="00395EA8" w:rsidP="00682E50" w:rsidRDefault="00395EA8" w14:paraId="7E52D8A3" w14:textId="77F16047">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395EA8">
          <w:rPr>
            <w:rStyle w:val="Hyperlink"/>
            <w:rFonts w:ascii="Aptos" w:hAnsi="Aptos" w:eastAsia="Twentieth Century" w:cs="Twentieth Century"/>
            <w:color w:val="1F497D" w:themeColor="text2"/>
            <w:sz w:val="19"/>
            <w:szCs w:val="19"/>
            <w:u w:val="none"/>
          </w:rPr>
          <w:t xml:space="preserve">Anexo: Lista de acrónimos</w:t>
        </w:r>
      </w:hyperlink>
    </w:p>
    <w:p w:rsidR="00682E50" w:rsidP="00682E50" w:rsidRDefault="00682E50" w14:paraId="6C836CFB" w14:textId="77777777">
      <w:pPr>
        <w:shd w:val="clear" w:color="auto" w:fill="FFFFFF"/>
        <w:spacing w:line="240" w:lineRule="auto"/>
        <w:rPr>
          <w:rFonts w:ascii="Aptos" w:hAnsi="Aptos" w:eastAsia="Twentieth Century" w:cs="Twentieth Century"/>
        </w:rPr>
      </w:pPr>
    </w:p>
    <w:p w:rsidR="00682E50" w:rsidP="00682E50" w:rsidRDefault="00682E50" w14:paraId="58BE708C" w14:textId="77777777">
      <w:pPr>
        <w:shd w:val="clear" w:color="auto" w:fill="FFFFFF"/>
        <w:spacing w:line="240" w:lineRule="auto"/>
        <w:rPr>
          <w:rFonts w:ascii="Aptos" w:hAnsi="Aptos" w:eastAsia="Twentieth Century" w:cs="Twentieth Century"/>
        </w:rPr>
      </w:pPr>
    </w:p>
    <w:p w:rsidRPr="00682E50" w:rsidR="00682E50" w:rsidP="5403C073" w:rsidRDefault="00000000" w14:paraId="38AF5719" w14:textId="74BE9322">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rPr>
        <w:t xml:space="preserve">---------</w:t>
      </w:r>
    </w:p>
    <w:p w:rsidRPr="00682E50" w:rsidR="00682E50" w:rsidP="00682E50" w:rsidRDefault="00682E50" w14:paraId="4282EF5E" w14:textId="77777777">
      <w:pPr>
        <w:shd w:val="clear" w:color="auto" w:fill="FFFFFF"/>
        <w:spacing w:line="240" w:lineRule="auto"/>
        <w:rPr>
          <w:rFonts w:ascii="Aptos" w:hAnsi="Aptos" w:eastAsia="Twentieth Century" w:cs="Twentieth Century"/>
          <w:shd w:val="clear" w:color="auto" w:fill="C6C6C6"/>
        </w:rPr>
      </w:pPr>
    </w:p>
    <w:p w:rsidRPr="00682E50" w:rsidR="00682E50" w:rsidP="00682E50" w:rsidRDefault="00682E50" w14:paraId="52B213F4" w14:textId="77777777">
      <w:pPr>
        <w:spacing w:line="240" w:lineRule="auto"/>
        <w:rPr>
          <w:rFonts w:ascii="Aptos" w:hAnsi="Aptos" w:eastAsia="Aptos" w:cs="Aptos"/>
          <w:b/>
          <w:bCs/>
          <w:u w:val="single"/>
          <w:lang w:val="en-US"/>
        </w:rPr>
      </w:pPr>
      <w:bookmarkStart w:name="_aazxyk9a8tva" w:colFirst="0" w:colLast="0" w:id="0"/>
      <w:bookmarkEnd w:id="0"/>
      <w:r w:rsidRPr="00682E50">
        <w:rPr>
          <w:rFonts w:ascii="Aptos" w:hAnsi="Aptos" w:eastAsia="Aptos" w:cs="Aptos"/>
          <w:b/>
          <w:bCs/>
          <w:u w:val="single"/>
          <w:lang w:val="en-US"/>
        </w:rPr>
        <w:t xml:space="preserve">Recomendaciones sobre los puntos del orden del día del SC81 </w:t>
      </w:r>
    </w:p>
    <w:p w:rsidRPr="00682E50" w:rsidR="00682E50" w:rsidP="00682E50" w:rsidRDefault="00682E50" w14:paraId="14B44C9D" w14:textId="77777777">
      <w:pPr>
        <w:pStyle w:val="Heading"/>
      </w:pPr>
    </w:p>
    <w:p w:rsidR="00682E50" w:rsidP="00682E50" w:rsidRDefault="00682E50" w14:paraId="094147CD" w14:textId="77777777">
      <w:pPr>
        <w:spacing w:line="240" w:lineRule="auto"/>
        <w:rPr>
          <w:rFonts w:ascii="Aptos" w:hAnsi="Aptos" w:eastAsia="Aptos" w:cs="Aptos"/>
          <w:lang w:val="en-US"/>
        </w:rPr>
      </w:pPr>
      <w:r w:rsidRPr="00682E50">
        <w:rPr>
          <w:rFonts w:ascii="Aptos" w:hAnsi="Aptos" w:eastAsia="Aptos" w:cs="Aptos"/>
          <w:lang w:val="en-US"/>
        </w:rPr>
        <w:t xml:space="preserve">La WCS aborda únicamente una parte de los puntos del orden del día y los documentos del SC81 que se indican a continuación. No obstante, nos complacería discutir estos y cualquier otro documento o tema con los miembros del SC y otras Partes, antes o durante la reunión del SC81. </w:t>
      </w:r>
    </w:p>
    <w:p w:rsidR="00682E50" w:rsidP="00682E50" w:rsidRDefault="00682E50" w14:paraId="5AE3B5AE" w14:textId="77777777">
      <w:pPr>
        <w:spacing w:line="240" w:lineRule="auto"/>
        <w:rPr>
          <w:rFonts w:ascii="Aptos" w:hAnsi="Aptos" w:eastAsia="Aptos" w:cs="Aptos"/>
          <w:lang w:val="en-US"/>
        </w:rPr>
      </w:pPr>
    </w:p>
    <w:p w:rsidR="00682E50" w:rsidP="00682E50" w:rsidRDefault="00682E50" w14:paraId="46577D0A" w14:textId="77777777">
      <w:pPr>
        <w:spacing w:line="240" w:lineRule="auto"/>
        <w:rPr>
          <w:rFonts w:ascii="Aptos" w:hAnsi="Aptos" w:eastAsia="Aptos" w:cs="Aptos"/>
          <w:lang w:val="en-US"/>
        </w:rPr>
      </w:pPr>
      <w:r w:rsidRPr="00682E50">
        <w:rPr>
          <w:rFonts w:ascii="Aptos" w:hAnsi="Aptos" w:eastAsia="Aptos" w:cs="Aptos"/>
          <w:lang w:val="en-US"/>
        </w:rPr>
        <w:t xml:space="preserve">En el caso de los documentos presentados fuera de plazo, compartiremos nuestras opiniones y recomendaciones con los miembros del SC y las Partes durante la reunión, y mediante la actualización de este documento en </w:t>
      </w:r>
      <w:hyperlink r:id="rId11">
        <w:r w:rsidRPr="00682E50">
          <w:rPr>
            <w:rStyle w:val="Hyperlink"/>
            <w:rFonts w:ascii="Aptos" w:hAnsi="Aptos"/>
            <w:lang w:val="en-US"/>
          </w:rPr>
          <w:t xml:space="preserve">nuestro sitio web</w:t>
        </w:r>
      </w:hyperlink>
      <w:r w:rsidRPr="00682E50">
        <w:rPr>
          <w:rFonts w:ascii="Aptos" w:hAnsi="Aptos" w:eastAsia="Aptos" w:cs="Aptos"/>
          <w:lang w:val="en-US"/>
        </w:rPr>
        <w:t xml:space="preserve">. </w:t>
      </w:r>
    </w:p>
    <w:p w:rsidR="00682E50" w:rsidP="00682E50" w:rsidRDefault="00682E50" w14:paraId="2340C7C1" w14:textId="77777777">
      <w:pPr>
        <w:spacing w:line="240" w:lineRule="auto"/>
        <w:rPr>
          <w:rFonts w:ascii="Aptos" w:hAnsi="Aptos" w:eastAsia="Aptos" w:cs="Aptos"/>
          <w:lang w:val="en-US"/>
        </w:rPr>
      </w:pPr>
    </w:p>
    <w:p w:rsidR="00682E50" w:rsidP="00682E50" w:rsidRDefault="00682E50" w14:paraId="63EBD5C2" w14:textId="17C65BEF">
      <w:pPr>
        <w:spacing w:line="240" w:lineRule="auto"/>
        <w:rPr>
          <w:rFonts w:ascii="Aptos" w:hAnsi="Aptos" w:eastAsia="Aptos" w:cs="Aptos"/>
          <w:lang w:val="en-US"/>
        </w:rPr>
      </w:pPr>
      <w:r w:rsidRPr="00682E50">
        <w:rPr>
          <w:rFonts w:ascii="Aptos" w:hAnsi="Aptos" w:eastAsia="Aptos" w:cs="Aptos"/>
          <w:lang w:val="en-US"/>
        </w:rPr>
        <w:t xml:space="preserve">Los números se refieren al número oficial del punto del orden del día del SC81</w:t>
      </w:r>
      <w:r>
        <w:rPr>
          <w:rFonts w:ascii="Aptos" w:hAnsi="Aptos" w:eastAsia="Aptos" w:cs="Aptos"/>
          <w:lang w:val="en-US"/>
        </w:rPr>
        <w:t xml:space="preserve">, y el título debe contener un hipervínculo al documento de trabajo.</w:t>
      </w:r>
    </w:p>
    <w:p w:rsidRPr="00682E50" w:rsidR="00682E50" w:rsidP="00682E50" w:rsidRDefault="00682E50" w14:paraId="32AC8695" w14:textId="77777777">
      <w:pPr>
        <w:spacing w:line="240" w:lineRule="auto"/>
        <w:rPr>
          <w:rFonts w:ascii="Aptos" w:hAnsi="Aptos"/>
        </w:rPr>
      </w:pPr>
    </w:p>
    <w:p w:rsidR="5403C073" w:rsidP="5403C073" w:rsidRDefault="5403C073" w14:paraId="4FAFAC7A" w14:textId="4FD7D916">
      <w:pPr>
        <w:spacing w:line="240" w:lineRule="auto"/>
        <w:rPr>
          <w:rFonts w:ascii="Aptos" w:hAnsi="Aptos"/>
        </w:rPr>
      </w:pPr>
    </w:p>
    <w:p w:rsidR="698A71E8" w:rsidP="5403C073" w:rsidRDefault="698A71E8" w14:paraId="2BCEF9FE" w14:textId="567234CB">
      <w:pPr>
        <w:spacing w:line="240" w:lineRule="auto"/>
        <w:rPr>
          <w:rFonts w:ascii="Aptos" w:hAnsi="Aptos"/>
          <w:b/>
          <w:bCs/>
        </w:rPr>
      </w:pPr>
      <w:r w:rsidRPr="5403C073">
        <w:rPr>
          <w:rFonts w:ascii="Aptos" w:hAnsi="Aptos"/>
          <w:b/>
          <w:bCs/>
        </w:rPr>
        <w:t xml:space="preserve">13. Mejorar la labor y la eficiencia de la Convención a través de los comités permanentes</w:t>
      </w:r>
    </w:p>
    <w:p w:rsidRPr="00682E50" w:rsidR="00682E50" w:rsidP="00682E50" w:rsidRDefault="00682E50" w14:paraId="6974728E" w14:textId="77777777">
      <w:pPr>
        <w:spacing w:line="240" w:lineRule="auto"/>
        <w:rPr>
          <w:rFonts w:ascii="Aptos" w:hAnsi="Aptos" w:eastAsia="Aptos" w:cs="Aptos"/>
          <w:i/>
          <w:iCs/>
          <w:color w:val="FF0000"/>
          <w:lang w:val="en-US"/>
        </w:rPr>
      </w:pPr>
    </w:p>
    <w:p w:rsidR="00682E50" w:rsidP="00682E50" w:rsidRDefault="00682E50" w14:paraId="335B8DD3" w14:textId="77777777">
      <w:pPr>
        <w:pStyle w:val="Heading1"/>
        <w:rPr>
          <w:rFonts w:ascii="Aptos" w:hAnsi="Aptos"/>
          <w:sz w:val="22"/>
          <w:szCs w:val="22"/>
        </w:rPr>
      </w:pPr>
      <w:bookmarkStart w:name="_13.1:_Enhancing_the" w:id="1"/>
      <w:bookmarkStart w:name="_Enhancing_the_work" w:id="2"/>
      <w:bookmarkStart w:name="_Toc242563984" w:id="3"/>
      <w:bookmarkEnd w:id="1"/>
      <w:r w:rsidRPr="00682E50">
        <w:rPr>
          <w:rFonts w:ascii="Aptos" w:hAnsi="Aptos"/>
          <w:sz w:val="22"/>
          <w:szCs w:val="22"/>
        </w:rPr>
        <w:t xml:space="preserve">13.1: </w:t>
      </w:r>
      <w:hyperlink r:id="rId12">
        <w:r w:rsidRPr="00682E50">
          <w:rPr>
            <w:rStyle w:val="Hyperlink"/>
            <w:rFonts w:ascii="Aptos" w:hAnsi="Aptos"/>
            <w:sz w:val="22"/>
            <w:szCs w:val="22"/>
          </w:rPr>
          <w:t xml:space="preserve">Mejora del trabajo y la eficiencia de la Convención a través de los comités permanentes: Informe del Grupo de Trabajo</w:t>
        </w:r>
        <w:bookmarkEnd w:id="2"/>
        <w:bookmarkEnd w:id="3"/>
      </w:hyperlink>
    </w:p>
    <w:p w:rsidRPr="00682E50" w:rsidR="00682E50" w:rsidP="00682E50" w:rsidRDefault="00682E50" w14:paraId="5030401B" w14:textId="77777777"/>
    <w:p w:rsidR="00682E50" w:rsidP="00682E50" w:rsidRDefault="00682E50" w14:paraId="2EC4BAF5" w14:textId="0B6C8C18">
      <w:pPr>
        <w:spacing w:line="240" w:lineRule="auto"/>
        <w:rPr>
          <w:rFonts w:ascii="Aptos" w:hAnsi="Aptos" w:eastAsia="Aptos" w:cs="Aptos"/>
          <w:lang w:val="en-US"/>
        </w:rPr>
      </w:pPr>
      <w:r w:rsidRPr="5403C073">
        <w:rPr>
          <w:rFonts w:ascii="Aptos" w:hAnsi="Aptos" w:eastAsia="Aptos" w:cs="Aptos"/>
          <w:lang w:val="en-US"/>
        </w:rPr>
        <w:t xml:space="preserve">Apoyamos el ejercicio piloto esbozado para la COP21, con suficiente detalle para evaluar si la mayor inversión en el proceso organiza de manera significativa el trabajo de los comités permanentes y la Secretaría (por ejemplo, el tiempo dedicado a la categorización y las modificaciones en comparación con la priorización anterior). En general, sostenemos que los procesos de calificación deben citar</w:t>
      </w:r>
      <w:r w:rsidRPr="5403C073" w:rsidR="4CEEC452">
        <w:rPr>
          <w:rFonts w:ascii="Aptos" w:hAnsi="Aptos" w:eastAsia="Aptos" w:cs="Aptos"/>
          <w:lang w:val="en-US"/>
        </w:rPr>
        <w:t xml:space="preserve">, siempre que sea posible, </w:t>
      </w:r>
      <w:r w:rsidRPr="5403C073">
        <w:rPr>
          <w:rFonts w:ascii="Aptos" w:hAnsi="Aptos" w:eastAsia="Aptos" w:cs="Aptos"/>
          <w:lang w:val="en-US"/>
        </w:rPr>
        <w:t xml:space="preserve">cualquier evidencia o indicador que sea verificable de manera independiente. </w:t>
      </w:r>
    </w:p>
    <w:p w:rsidRPr="00682E50" w:rsidR="00682E50" w:rsidP="00682E50" w:rsidRDefault="00682E50" w14:paraId="6D193ED3" w14:textId="77777777">
      <w:pPr>
        <w:spacing w:line="240" w:lineRule="auto"/>
        <w:rPr>
          <w:rFonts w:ascii="Aptos" w:hAnsi="Aptos" w:eastAsia="Aptos" w:cs="Aptos"/>
          <w:lang w:val="en-US"/>
        </w:rPr>
      </w:pPr>
    </w:p>
    <w:p w:rsidR="00682E50" w:rsidP="00682E50" w:rsidRDefault="00682E50" w14:paraId="4C452338" w14:textId="77777777">
      <w:pPr>
        <w:pStyle w:val="Heading"/>
        <w:outlineLvl w:val="0"/>
      </w:pPr>
      <w:r w:rsidRPr="00682E50">
        <w:t xml:space="preserve">13.2: </w:t>
      </w:r>
      <w:hyperlink r:id="rId13">
        <w:r w:rsidRPr="00682E50">
          <w:rPr>
            <w:rStyle w:val="Hyperlink"/>
          </w:rPr>
          <w:t xml:space="preserve">Mejorar el trabajo y la eficiencia de la Convención a través de los comités permanentes: Solicitudes de información a las Partes: Panorama general y desafíos clave</w:t>
        </w:r>
      </w:hyperlink>
    </w:p>
    <w:p w:rsidRPr="00682E50" w:rsidR="00682E50" w:rsidP="00682E50" w:rsidRDefault="00682E50" w14:paraId="45C295FD" w14:textId="77777777">
      <w:pPr>
        <w:pStyle w:val="Heading"/>
      </w:pPr>
    </w:p>
    <w:p w:rsidRPr="00682E50" w:rsidR="00682E50" w:rsidP="00682E50" w:rsidRDefault="00682E50" w14:paraId="1364E97F" w14:textId="51EEAA11">
      <w:pPr>
        <w:spacing w:line="240" w:lineRule="auto"/>
        <w:rPr>
          <w:rFonts w:ascii="Aptos" w:hAnsi="Aptos" w:eastAsia="Aptos" w:cs="Aptos"/>
          <w:lang w:val="en-US"/>
        </w:rPr>
      </w:pPr>
      <w:r w:rsidRPr="5403C073">
        <w:rPr>
          <w:rFonts w:ascii="Aptos" w:hAnsi="Aptos" w:eastAsia="Aptos" w:cs="Aptos"/>
          <w:lang w:val="en-US"/>
        </w:rPr>
        <w:t xml:space="preserve">La decisión de las Partes de no presentar una respuesta a las notificaciones que solicitan información específica socava la toma de decisiones por parte de los Comités Permanentes y la CoP sobre temas que van desde los grandes felinos asiáticos hasta las reservas de marfil de elefante, pasando por las especies de anfibios, entre otros. Muchas de estas </w:t>
      </w:r>
      <w:r w:rsidRPr="5403C073">
        <w:rPr>
          <w:rFonts w:ascii="Aptos" w:hAnsi="Aptos" w:eastAsia="Aptos" w:cs="Aptos"/>
          <w:lang w:val="en-US"/>
        </w:rPr>
        <w:t xml:space="preserve">notificaciones</w:t>
      </w:r>
      <w:r w:rsidRPr="5403C073">
        <w:rPr>
          <w:rFonts w:ascii="Aptos" w:hAnsi="Aptos" w:eastAsia="Aptos" w:cs="Aptos"/>
          <w:lang w:val="en-US"/>
        </w:rPr>
        <w:lastRenderedPageBreak/>
      </w:r>
      <w:r w:rsidRPr="5403C073">
        <w:rPr>
          <w:rFonts w:ascii="Aptos" w:hAnsi="Aptos" w:eastAsia="Aptos" w:cs="Aptos"/>
          <w:lang w:val="en-US"/>
        </w:rPr>
        <w:t xml:space="preserve"> están relacionadas con la implementación de resoluciones existentes sobre especies amenazadas. Apoyamos el establecimiento de un grupo de trabajo entre períodos de sesiones con el mandato de identificar formas de aumentar las respuestas sustantivas y exhaustivas a dichas notificaciones. </w:t>
      </w:r>
      <w:r w:rsidRPr="5403C073" w:rsidR="1C78D00D">
        <w:rPr>
          <w:rFonts w:ascii="Aptos" w:hAnsi="Aptos" w:eastAsia="Aptos" w:cs="Aptos"/>
          <w:lang w:val="en-US"/>
        </w:rPr>
        <w:t xml:space="preserve">Una opción es garantizar que el Comité de Conservación (SC) y la CoP adopten recomendaciones y decisiones que citen los resultados de los análisis técnicos para aclarar las aportaciones más importantes de las Partes. </w:t>
      </w:r>
    </w:p>
    <w:p w:rsidR="00682E50" w:rsidP="00682E50" w:rsidRDefault="00682E50" w14:paraId="215E71EC" w14:textId="77777777">
      <w:pPr>
        <w:spacing w:line="240" w:lineRule="auto"/>
        <w:rPr>
          <w:rFonts w:ascii="Aptos" w:hAnsi="Aptos" w:eastAsia="Aptos" w:cs="Aptos"/>
          <w:b/>
          <w:bCs/>
          <w:lang w:val="en-US"/>
        </w:rPr>
      </w:pPr>
    </w:p>
    <w:p w:rsidRPr="00682E50" w:rsidR="00682E50" w:rsidP="00682E50" w:rsidRDefault="00682E50" w14:paraId="24A2F76F" w14:textId="77777777">
      <w:pPr>
        <w:spacing w:line="240" w:lineRule="auto"/>
        <w:rPr>
          <w:rFonts w:ascii="Aptos" w:hAnsi="Aptos" w:eastAsia="Aptos" w:cs="Aptos"/>
          <w:b/>
          <w:bCs/>
          <w:lang w:val="en-US"/>
        </w:rPr>
      </w:pPr>
    </w:p>
    <w:p w:rsidRPr="00682E50" w:rsidR="00682E50" w:rsidP="00682E50" w:rsidRDefault="00682E50" w14:paraId="3F453AD5" w14:textId="77777777">
      <w:pPr>
        <w:pStyle w:val="Heading1"/>
        <w:rPr>
          <w:rFonts w:ascii="Aptos" w:hAnsi="Aptos"/>
          <w:sz w:val="22"/>
          <w:szCs w:val="22"/>
        </w:rPr>
      </w:pPr>
      <w:bookmarkStart w:name="_14:_Role_of" w:id="4"/>
      <w:bookmarkStart w:name="_Role_of_CITES" w:id="5"/>
      <w:bookmarkStart w:name="_Toc242563985" w:id="6"/>
      <w:bookmarkEnd w:id="4"/>
      <w:r w:rsidRPr="00682E50">
        <w:rPr>
          <w:rFonts w:ascii="Aptos" w:hAnsi="Aptos"/>
          <w:sz w:val="22"/>
          <w:szCs w:val="22"/>
        </w:rPr>
        <w:t xml:space="preserve">14: </w:t>
      </w:r>
      <w:hyperlink r:id="rId14">
        <w:r w:rsidRPr="00682E50">
          <w:rPr>
            <w:rStyle w:val="Hyperlink"/>
            <w:rFonts w:ascii="Aptos" w:hAnsi="Aptos"/>
            <w:sz w:val="22"/>
            <w:szCs w:val="22"/>
          </w:rPr>
          <w:t xml:space="preserve">Papel de la CITES en la reducción del riesgo de aparición futura de enfermedades zoonóticas asociadas al comercio internacional de vida silvestre [Decisiones 19.17 (Rev. CoP20) y 20.23]</w:t>
        </w:r>
        <w:bookmarkEnd w:id="5"/>
        <w:bookmarkEnd w:id="6"/>
      </w:hyperlink>
      <w:r w:rsidRPr="00682E50">
        <w:rPr>
          <w:rFonts w:ascii="Aptos" w:hAnsi="Aptos"/>
          <w:sz w:val="22"/>
          <w:szCs w:val="22"/>
        </w:rPr>
        <w:t xml:space="preserve"> </w:t>
      </w:r>
    </w:p>
    <w:p w:rsidR="00682E50" w:rsidP="00682E50" w:rsidRDefault="00682E50" w14:paraId="30FEE943" w14:textId="77777777">
      <w:pPr>
        <w:spacing w:line="240" w:lineRule="auto"/>
        <w:rPr>
          <w:rFonts w:ascii="Aptos" w:hAnsi="Aptos" w:eastAsia="Aptos" w:cs="Aptos"/>
          <w:lang w:val="en-US"/>
        </w:rPr>
      </w:pPr>
    </w:p>
    <w:p w:rsidR="00682E50" w:rsidP="5403C073" w:rsidRDefault="00682E50" w14:paraId="5DEEDDE3" w14:textId="40B263DC">
      <w:pPr>
        <w:spacing w:line="240" w:lineRule="auto"/>
        <w:rPr>
          <w:rFonts w:ascii="Aptos" w:hAnsi="Aptos" w:eastAsia="Aptos" w:cs="Aptos"/>
          <w:lang w:val="en-US"/>
        </w:rPr>
      </w:pPr>
      <w:r w:rsidRPr="5403C073">
        <w:rPr>
          <w:rFonts w:ascii="Aptos" w:hAnsi="Aptos" w:eastAsia="Aptos" w:cs="Aptos"/>
          <w:lang w:val="en-US"/>
        </w:rPr>
        <w:t xml:space="preserve">La WCS se complace de haber sido miembro del Grupo de Trabajo previo a la CoP20 sobre el </w:t>
      </w:r>
      <w:r w:rsidRPr="5403C073">
        <w:rPr>
          <w:rFonts w:ascii="Aptos" w:hAnsi="Aptos" w:eastAsia="Aptos" w:cs="Aptos"/>
          <w:lang w:val="en-US"/>
        </w:rPr>
        <w:t xml:space="preserve">«</w:t>
      </w:r>
      <w:r w:rsidRPr="5403C073">
        <w:rPr>
          <w:rFonts w:ascii="Aptos" w:hAnsi="Aptos" w:eastAsia="Aptos" w:cs="Aptos"/>
          <w:lang w:val="en-US"/>
        </w:rPr>
        <w:t xml:space="preserve">Papel de la CITES en la reducción del riesgo de aparición futura de enfermedades zoonóticas asociadas al comercio internacional de vida </w:t>
      </w:r>
      <w:r w:rsidRPr="5403C073">
        <w:rPr>
          <w:rFonts w:ascii="Aptos" w:hAnsi="Aptos" w:eastAsia="Aptos" w:cs="Aptos"/>
          <w:lang w:val="en-US"/>
        </w:rPr>
        <w:t xml:space="preserve">silvestre»</w:t>
      </w:r>
      <w:r w:rsidRPr="5403C073" w:rsidR="71EF62EA">
        <w:rPr>
          <w:rFonts w:ascii="Aptos" w:hAnsi="Aptos" w:eastAsia="Aptos" w:cs="Aptos"/>
          <w:lang w:val="en-US"/>
        </w:rPr>
        <w:t xml:space="preserve">, </w:t>
      </w:r>
      <w:r w:rsidRPr="5403C073">
        <w:rPr>
          <w:rFonts w:ascii="Aptos" w:hAnsi="Aptos" w:eastAsia="Aptos" w:cs="Aptos"/>
          <w:lang w:val="en-US"/>
        </w:rPr>
        <w:t xml:space="preserve">y de haber podido compartir </w:t>
      </w:r>
      <w:r w:rsidRPr="5403C073">
        <w:rPr>
          <w:rFonts w:ascii="Aptos" w:hAnsi="Aptos" w:eastAsia="Aptos" w:cs="Aptos"/>
          <w:lang w:val="en-US"/>
        </w:rPr>
        <w:t xml:space="preserve">con las Partes  </w:t>
      </w:r>
      <w:r w:rsidRPr="5403C073">
        <w:rPr>
          <w:rFonts w:ascii="Aptos" w:hAnsi="Aptos" w:eastAsia="Aptos" w:cs="Aptos"/>
          <w:lang w:val="en-US"/>
        </w:rPr>
        <w:t xml:space="preserve">nuestro extenso </w:t>
      </w:r>
      <w:hyperlink r:id="rId15">
        <w:r w:rsidRPr="5403C073">
          <w:rPr>
            <w:rStyle w:val="Hyperlink"/>
            <w:rFonts w:ascii="Aptos" w:hAnsi="Aptos" w:eastAsia="Aptos" w:cs="Aptos"/>
            <w:color w:val="467886"/>
            <w:lang w:val="en-US"/>
          </w:rPr>
          <w:t xml:space="preserve">trabajo y experiencia en el enfoque «Una sola salud</w:t>
        </w:r>
      </w:hyperlink>
      <w:r w:rsidRPr="5403C073">
        <w:rPr>
          <w:rFonts w:ascii="Aptos" w:hAnsi="Aptos" w:eastAsia="Aptos" w:cs="Aptos"/>
          <w:lang w:val="en-US"/>
        </w:rPr>
        <w:t xml:space="preserve">», así como </w:t>
      </w:r>
      <w:hyperlink r:id="rId17">
        <w:r w:rsidRPr="5403C073">
          <w:rPr>
            <w:rStyle w:val="Hyperlink"/>
            <w:rFonts w:ascii="Aptos" w:hAnsi="Aptos" w:eastAsia="Aptos" w:cs="Aptos"/>
            <w:color w:val="467886"/>
            <w:lang w:val="en-US"/>
          </w:rPr>
          <w:t xml:space="preserve">nuestra labor basada en la ciencia sobre la prevención de pandemias</w:t>
        </w:r>
      </w:hyperlink>
      <w:r w:rsidRPr="5403C073">
        <w:rPr>
          <w:rFonts w:ascii="Aptos" w:hAnsi="Aptos" w:eastAsia="Aptos" w:cs="Aptos"/>
          <w:lang w:val="en-US"/>
        </w:rPr>
        <w:t xml:space="preserve">. Es vital que la prevención en el origen (en particular, de la transmisión de patógenos desde la vida silvestre) del próximo brote, epidemia o pandemia de origen zoonótico se aborde tanto a nivel nacional como internacional. Creemos que la CITES y su aplicación tienen un papel que desempeñar en esta prevención, pero también hay mucho por hacer que queda fuera del ámbito de competencia de la CITES.  </w:t>
      </w:r>
    </w:p>
    <w:p w:rsidRPr="00682E50" w:rsidR="00682E50" w:rsidP="00682E50" w:rsidRDefault="00682E50" w14:paraId="55DA2440" w14:textId="77777777">
      <w:pPr>
        <w:spacing w:line="240" w:lineRule="auto"/>
        <w:rPr>
          <w:rFonts w:ascii="Aptos" w:hAnsi="Aptos" w:eastAsia="Aptos" w:cs="Aptos"/>
          <w:lang w:val="en-US"/>
        </w:rPr>
      </w:pPr>
    </w:p>
    <w:p w:rsidR="00682E50" w:rsidP="00682E50" w:rsidRDefault="00682E50" w14:paraId="2FC32582" w14:textId="77777777">
      <w:pPr>
        <w:spacing w:line="240" w:lineRule="auto"/>
        <w:rPr>
          <w:rFonts w:ascii="Aptos" w:hAnsi="Aptos" w:eastAsia="Aptos" w:cs="Aptos"/>
          <w:lang w:val="en-US"/>
        </w:rPr>
      </w:pPr>
      <w:r w:rsidRPr="00682E50">
        <w:rPr>
          <w:rFonts w:ascii="Aptos" w:hAnsi="Aptos" w:eastAsia="Aptos" w:cs="Aptos"/>
        </w:rPr>
        <w:t xml:space="preserve">Se trata de un asunto urgente, y hay medidas que es fundamental que adopten los gobiernos para ayudar a prevenir otra pandemia devastadora de origen zoonótico. La implementación de un verdadero enfoque transectorial de «Una sola salud» es vital en ese sentido. Consideramos que la aplicación de la CITES forma parte de ese enfoque transectorial, el cual debe incluir la gestión y regulación del uso doméstico de la vida silvestre, la degradación y pérdida de hábitats, la “cría” y manejo de animales, los mercados de vida silvestre viva, y, por necesidad, debe involucrar a múltiples organismos y autoridades nacionales. Existen </w:t>
      </w:r>
      <w:r w:rsidRPr="00682E50">
        <w:rPr>
          <w:rFonts w:ascii="Aptos" w:hAnsi="Aptos" w:eastAsia="Aptos" w:cs="Aptos"/>
          <w:lang w:val="en-SG"/>
        </w:rPr>
        <w:t xml:space="preserve">diversos </w:t>
      </w:r>
      <w:r w:rsidRPr="00682E50">
        <w:rPr>
          <w:rFonts w:ascii="Aptos" w:hAnsi="Aptos" w:eastAsia="Aptos" w:cs="Aptos"/>
        </w:rPr>
        <w:t xml:space="preserve">factores que contribuyen a la transmisión de patógenos (y a la retrotransmisión) de la vida silvestre a los seres humanos, a otros animales silvestres y al ganado. La evidencia es clara: las granjas de vida silvestre o instalaciones de cría en cautiverio, los mercados (en particular los de animales vivos y recién sacrificados, y especialmente los que involucran aves y mamíferos) y el comercio asociado (nacional e internacional) contribuyen significativamente al riesgo de transmisión de patógenos. El comercio internacional de vida silvestre es uno de estos factores y, como tal, estos temas son altamente relevantes desde la perspectiva de la CITES.  </w:t>
      </w:r>
    </w:p>
    <w:p w:rsidRPr="00682E50" w:rsidR="00682E50" w:rsidP="00682E50" w:rsidRDefault="00682E50" w14:paraId="1775D96D" w14:textId="77777777">
      <w:pPr>
        <w:spacing w:line="240" w:lineRule="auto"/>
        <w:rPr>
          <w:rFonts w:ascii="Aptos" w:hAnsi="Aptos" w:eastAsia="Aptos" w:cs="Aptos"/>
          <w:lang w:val="en-US"/>
        </w:rPr>
      </w:pPr>
    </w:p>
    <w:p w:rsidR="00682E50" w:rsidP="00682E50" w:rsidRDefault="00682E50" w14:paraId="6C82B01C" w14:textId="77777777">
      <w:pPr>
        <w:spacing w:line="240" w:lineRule="auto"/>
        <w:rPr>
          <w:rFonts w:ascii="Aptos" w:hAnsi="Aptos" w:eastAsia="Aptos" w:cs="Aptos"/>
          <w:lang w:val="en-US"/>
        </w:rPr>
      </w:pPr>
      <w:r w:rsidRPr="00682E50">
        <w:rPr>
          <w:rFonts w:ascii="Aptos" w:hAnsi="Aptos" w:eastAsia="Aptos" w:cs="Aptos"/>
          <w:lang w:val="en-US"/>
        </w:rPr>
        <w:t xml:space="preserve">Reconocemos que muchas Partes han tomado medidas positivas para abordar el riesgo de transmisión de patógenos desde la vida silvestre (tanto de cría como de estado silvestre), pero muchas aún no han tomado medidas suficientes. En mayo de 2024, la OIE publicó sus </w:t>
      </w:r>
      <w:hyperlink r:id="rId18">
        <w:r w:rsidRPr="00682E50">
          <w:rPr>
            <w:rStyle w:val="Hyperlink"/>
            <w:rFonts w:ascii="Aptos" w:hAnsi="Aptos" w:eastAsia="Aptos" w:cs="Aptos"/>
            <w:i/>
            <w:iCs/>
            <w:color w:val="467886"/>
            <w:lang w:val="en-US"/>
          </w:rPr>
          <w:t xml:space="preserve">Directrices para abordar los riesgos de enfermedades en el comercio de vida silvestre</w:t>
        </w:r>
      </w:hyperlink>
      <w:r w:rsidRPr="00682E50">
        <w:rPr>
          <w:rFonts w:ascii="Aptos" w:hAnsi="Aptos" w:eastAsia="Aptos" w:cs="Aptos"/>
          <w:lang w:val="en-US"/>
        </w:rPr>
        <w:t xml:space="preserve">, que brindan orientación a los actores clave en el comercio de vida silvestre para</w:t>
      </w:r>
      <w:bookmarkStart w:name="_Int_mGLM0xJ9" w:id="7"/>
      <w:r w:rsidRPr="00682E50">
        <w:rPr>
          <w:rFonts w:ascii="Aptos" w:hAnsi="Aptos" w:eastAsia="Aptos" w:cs="Aptos"/>
          <w:lang w:val="en-US"/>
        </w:rPr>
        <w:t xml:space="preserve"> identificar</w:t>
      </w:r>
      <w:bookmarkEnd w:id="7"/>
      <w:r w:rsidRPr="00682E50">
        <w:rPr>
          <w:rFonts w:ascii="Aptos" w:hAnsi="Aptos" w:eastAsia="Aptos" w:cs="Aptos"/>
          <w:lang w:val="en-US"/>
        </w:rPr>
        <w:t xml:space="preserve"> y seleccionar estrategias de gestión de riesgos pragmáticas, flexibles y pertinentes, así como para garantizar su implementación efectiva. Instamos a las Partes a implementar dichas Directrices.  </w:t>
      </w:r>
    </w:p>
    <w:p w:rsidRPr="00682E50" w:rsidR="00682E50" w:rsidP="00682E50" w:rsidRDefault="00682E50" w14:paraId="1B5D2628" w14:textId="77777777">
      <w:pPr>
        <w:spacing w:line="240" w:lineRule="auto"/>
        <w:rPr>
          <w:rFonts w:ascii="Aptos" w:hAnsi="Aptos" w:eastAsia="Aptos" w:cs="Aptos"/>
          <w:lang w:val="en-US"/>
        </w:rPr>
      </w:pPr>
    </w:p>
    <w:p w:rsidR="00682E50" w:rsidP="00682E50" w:rsidRDefault="00682E50" w14:paraId="6CAB11BD" w14:textId="77777777">
      <w:pPr>
        <w:spacing w:line="240" w:lineRule="auto"/>
        <w:rPr>
          <w:rFonts w:ascii="Aptos" w:hAnsi="Aptos" w:eastAsia="Aptos" w:cs="Aptos"/>
          <w:lang w:val="en-US"/>
        </w:rPr>
      </w:pPr>
      <w:r w:rsidRPr="00682E50">
        <w:rPr>
          <w:rFonts w:ascii="Aptos" w:hAnsi="Aptos" w:eastAsia="Aptos" w:cs="Aptos"/>
          <w:lang w:val="en-SG"/>
        </w:rPr>
        <w:t xml:space="preserve">Agradecemos la adopción por parte de la COP 16 del CDB de </w:t>
      </w:r>
      <w:hyperlink r:id="rId19">
        <w:r w:rsidRPr="00682E50">
          <w:rPr>
            <w:rStyle w:val="Hyperlink"/>
            <w:rFonts w:ascii="Aptos" w:hAnsi="Aptos" w:eastAsia="Aptos" w:cs="Aptos"/>
            <w:color w:val="467886"/>
            <w:lang w:val="en-SG"/>
          </w:rPr>
          <w:t xml:space="preserve">la Decisión 16/19</w:t>
        </w:r>
      </w:hyperlink>
      <w:r w:rsidRPr="00682E50">
        <w:rPr>
          <w:rFonts w:ascii="Aptos" w:hAnsi="Aptos" w:eastAsia="Aptos" w:cs="Aptos"/>
          <w:lang w:val="en-SG"/>
        </w:rPr>
        <w:t xml:space="preserve">, que incluye </w:t>
      </w:r>
      <w:r w:rsidRPr="00682E50">
        <w:rPr>
          <w:rFonts w:ascii="Aptos" w:hAnsi="Aptos" w:eastAsia="Aptos" w:cs="Aptos"/>
        </w:rPr>
        <w:t xml:space="preserve">un </w:t>
      </w:r>
      <w:hyperlink r:id="rId20">
        <w:r w:rsidRPr="00682E50">
          <w:rPr>
            <w:rStyle w:val="Hyperlink"/>
            <w:rFonts w:ascii="Aptos" w:hAnsi="Aptos" w:eastAsia="Aptos" w:cs="Aptos"/>
            <w:i/>
            <w:iCs/>
            <w:color w:val="467886"/>
          </w:rPr>
          <w:t xml:space="preserve">Plan de Acción Global para la Biodiversidad y la Salud</w:t>
        </w:r>
      </w:hyperlink>
      <w:r w:rsidRPr="00682E50">
        <w:rPr>
          <w:rFonts w:ascii="Aptos" w:hAnsi="Aptos" w:eastAsia="Aptos" w:cs="Aptos"/>
        </w:rPr>
        <w:t xml:space="preserve"> (Plan de Acción) con medidas para integrar los vínculos entre la biodiversidad y la salud en la implementación del Marco Global para la Salud (GBF). El Plan de Acción incluye tomar en cuenta la biodiversidad y la salud, utilizando un enfoque «Una sola salud», en la implementación de las Metas del GBF, incluyendo las Metas 4, 5 y 9 como particularmente relevantes en el contexto del comercio. El </w:t>
      </w:r>
      <w:r w:rsidRPr="00682E50">
        <w:rPr>
          <w:rFonts w:ascii="Aptos" w:hAnsi="Aptos" w:eastAsia="Aptos" w:cs="Aptos"/>
          <w:lang w:val="en-SG"/>
        </w:rPr>
        <w:t xml:space="preserve">Plan</w:t>
      </w:r>
      <w:r w:rsidRPr="00682E50">
        <w:rPr>
          <w:rFonts w:ascii="Aptos" w:hAnsi="Aptos" w:eastAsia="Aptos" w:cs="Aptos"/>
        </w:rPr>
        <w:t xml:space="preserve"> de Acción </w:t>
      </w:r>
      <w:r w:rsidRPr="00682E50">
        <w:rPr>
          <w:rFonts w:ascii="Aptos" w:hAnsi="Aptos" w:eastAsia="Aptos" w:cs="Aptos"/>
          <w:lang w:val="en-SG"/>
        </w:rPr>
        <w:t xml:space="preserve">contiene recomendaciones claras para reducir el riesgo de propagación de patógenos. Dado que todas las Partes de la CITES, excepto una, son Partes del CDB, instamos al Comité de Conservación y a las Partes de la CITES a que se esfuercen por implementar el Plan de Acción junto con la implementación del Marco Global para la Biodiversidad. </w:t>
      </w:r>
    </w:p>
    <w:p w:rsidRPr="00682E50" w:rsidR="00682E50" w:rsidP="00682E50" w:rsidRDefault="00682E50" w14:paraId="56CA2C7A" w14:textId="77777777">
      <w:pPr>
        <w:spacing w:line="240" w:lineRule="auto"/>
        <w:rPr>
          <w:rFonts w:ascii="Aptos" w:hAnsi="Aptos" w:eastAsia="Aptos" w:cs="Aptos"/>
          <w:lang w:val="en-US"/>
        </w:rPr>
      </w:pPr>
    </w:p>
    <w:p w:rsidR="00682E50" w:rsidP="00682E50" w:rsidRDefault="00682E50" w14:paraId="79D46B54" w14:textId="77777777">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La WCS llama la atención de las Partes sobre una publicación histórica emitida por la Alianza Internacional contra los Riesgos para la Salud en el Comercio de Vida Silvestre, titulada </w:t>
      </w:r>
      <w:r w:rsidRPr="00682E50">
        <w:rPr>
          <w:rFonts w:ascii="Aptos" w:hAnsi="Aptos" w:eastAsia="Aptos" w:cs="Aptos"/>
          <w:i/>
          <w:iCs/>
          <w:lang w:val="en-US"/>
        </w:rPr>
        <w:t xml:space="preserve">«Comercio y mercados de vida silvestre </w:t>
      </w:r>
      <w:r w:rsidRPr="00682E50">
        <w:rPr>
          <w:rFonts w:ascii="Aptos" w:hAnsi="Aptos" w:eastAsia="Aptos" w:cs="Aptos"/>
          <w:lang w:val="en-US"/>
        </w:rPr>
        <w:t xml:space="preserve">viva» </w:t>
      </w:r>
      <w:r w:rsidRPr="00682E50">
        <w:rPr>
          <w:rFonts w:ascii="Aptos" w:hAnsi="Aptos" w:eastAsia="Aptos" w:cs="Aptos"/>
          <w:lang w:val="en-US"/>
        </w:rPr>
        <w:t xml:space="preserve">(</w:t>
      </w:r>
      <w:hyperlink r:id="rId21">
        <w:r w:rsidRPr="00682E50">
          <w:rPr>
            <w:rStyle w:val="Hyperlink"/>
            <w:rFonts w:ascii="Aptos" w:hAnsi="Aptos" w:eastAsia="Aptos" w:cs="Aptos"/>
            <w:color w:val="467886"/>
            <w:lang w:val="en-US"/>
          </w:rPr>
          <w:t xml:space="preserve">https://alliance-health-wildlife.org/2026/05/29/new-alliance-publication-white-paper-on-live-wildlife-trade-and-markets/</w:t>
        </w:r>
      </w:hyperlink>
      <w:r w:rsidRPr="00682E50">
        <w:rPr>
          <w:rFonts w:ascii="Aptos" w:hAnsi="Aptos" w:eastAsia="Aptos" w:cs="Aptos"/>
          <w:lang w:val="en-US"/>
        </w:rPr>
        <w:t xml:space="preserve">). El documento examina los vínculos entre el comercio de fauna silvestre viva, los riesgos de enfermedades zoonóticas, la pérdida de biodiversidad, el bienestar animal y la seguridad sanitaria mundial a través de una perspectiva integral de «Una sola salud». Basándose en la evidencia científica actual, destaca cómo las cadenas de comercio de fauna silvestre y los mercados de animales vivos pueden crear condiciones que faciliten la aparición, la transmisión y el contagio de patógenos. El documento explora los principales impulsores y factores de riesgo asociados con el comercio legal e ilegal de vida silvestre, incluyendo el comercio internacional de mascotas exóticas, el comercio en línea, las brechas regulatorias y las cadenas de suministro globales. Además, describe enfoques orientados a la prevención y recomendaciones de políticas destinadas a reducir los riesgos de pandemia en su origen, al tiempo que se apoya la protección de la biodiversidad, el bienestar animal y la integridad de los ecosistemas. </w:t>
      </w:r>
    </w:p>
    <w:p w:rsidRPr="00682E50" w:rsidR="00682E50" w:rsidP="00682E50" w:rsidRDefault="00682E50" w14:paraId="52A939E8" w14:textId="77777777">
      <w:pPr>
        <w:spacing w:line="240" w:lineRule="auto"/>
        <w:rPr>
          <w:rFonts w:ascii="Aptos" w:hAnsi="Aptos" w:eastAsia="Aptos" w:cs="Aptos"/>
          <w:lang w:val="en-US"/>
        </w:rPr>
      </w:pPr>
    </w:p>
    <w:p w:rsidR="00682E50" w:rsidP="00682E50" w:rsidRDefault="00682E50" w14:paraId="65267677" w14:textId="77777777">
      <w:pPr>
        <w:spacing w:line="240" w:lineRule="auto"/>
        <w:rPr>
          <w:rFonts w:ascii="Aptos" w:hAnsi="Aptos" w:eastAsia="Aptos" w:cs="Aptos"/>
          <w:lang w:val="en-US"/>
        </w:rPr>
      </w:pPr>
      <w:r w:rsidRPr="00682E50">
        <w:rPr>
          <w:rFonts w:ascii="Aptos" w:hAnsi="Aptos" w:eastAsia="Aptos" w:cs="Aptos"/>
          <w:lang w:val="en-SG"/>
        </w:rPr>
        <w:t xml:space="preserve">En relación con el Doc. 14 de la SC81: </w:t>
      </w:r>
    </w:p>
    <w:p w:rsidRPr="00682E50" w:rsidR="00682E50" w:rsidP="00682E50" w:rsidRDefault="00682E50" w14:paraId="6AE9D0BD" w14:textId="77777777">
      <w:pPr>
        <w:spacing w:line="240" w:lineRule="auto"/>
        <w:rPr>
          <w:rFonts w:ascii="Aptos" w:hAnsi="Aptos" w:eastAsia="Aptos" w:cs="Aptos"/>
          <w:lang w:val="en-US"/>
        </w:rPr>
      </w:pPr>
    </w:p>
    <w:p w:rsidRPr="00682E50" w:rsidR="00682E50" w:rsidP="00682E50" w:rsidRDefault="00682E50" w14:paraId="0F9BA44D" w14:textId="77777777">
      <w:pPr>
        <w:pStyle w:val="ListParagraph"/>
        <w:numPr>
          <w:ilvl w:val="0"/>
          <w:numId w:val="17"/>
        </w:numPr>
        <w:tabs>
          <w:tab w:val="left" w:pos="0"/>
          <w:tab w:val="left" w:pos="720"/>
        </w:tabs>
        <w:spacing w:line="240" w:lineRule="auto"/>
        <w:rPr>
          <w:rFonts w:ascii="Aptos" w:hAnsi="Aptos" w:eastAsia="Aptos" w:cs="Aptos"/>
          <w:lang w:val="en-SG"/>
        </w:rPr>
      </w:pPr>
      <w:r w:rsidRPr="00682E50">
        <w:rPr>
          <w:rFonts w:ascii="Aptos" w:hAnsi="Aptos" w:eastAsia="Aptos" w:cs="Aptos"/>
          <w:lang w:val="en-SG"/>
        </w:rPr>
        <w:t xml:space="preserve">La WCS alienta a todas las Partes a responder a la Notificación a las Partes que el Comité de Animales ha solicitado a la Secretaría que emita, de conformidad con la Decisión 20.12, y a compartir sus experiencias y aportaciones científicas y técnicas en relación con la prevención, detección y control de los riesgos de propagación de patógenos asociados con el comercio internacional de vida silvestre.</w:t>
      </w:r>
    </w:p>
    <w:p w:rsidRPr="00682E50" w:rsidR="00682E50" w:rsidP="00682E50" w:rsidRDefault="00682E50" w14:paraId="60FAD5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La WCS alienta a todas las autoridades de la CITES a trabajar en estrecha colaboración con sus puntos focales del CDB, según corresponda, en la implementación del Marco Global de Biodiversidad y Salud (GBF), particularmente en lo que se refiere a su Meta 5 y a la implementación del Plan de Acción Global del CDB sobre Biodiversidad y Salud. </w:t>
      </w:r>
    </w:p>
    <w:p w:rsidR="00682E50" w:rsidP="00682E50" w:rsidRDefault="00682E50" w14:paraId="11CED4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La WCS apoya que se siga debatiendo sobre las ventajas de una resolución de la Conferencia de las Partes sobre estos temas. Sin embargo, independientemente de que las Partes adopten o no una nueva resolución, la amplia información y los datos científicos de los que se dispone actualmente dejan claro lo que se necesita para prevenir la próxima pandemia de origen zoonótico, especialmente en lo que respecta a la cría comercial, la manipulación y el comercio de aves y mamíferos silvestres vivos (y recién sacrificados). Sabemos lo suficiente como para actuar, y el principio de precaución exige que se tomen medidas de manera urgente.  </w:t>
      </w:r>
    </w:p>
    <w:p w:rsidR="00682E50" w:rsidP="00682E50" w:rsidRDefault="00682E50" w14:paraId="5BAF07F6"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366B4E0"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6AC2BCF" w14:textId="29AD1694">
      <w:pPr>
        <w:pStyle w:val="Heading1"/>
        <w:rPr>
          <w:rFonts w:ascii="Aptos" w:hAnsi="Aptos"/>
          <w:sz w:val="22"/>
          <w:szCs w:val="22"/>
        </w:rPr>
      </w:pPr>
      <w:bookmarkStart w:name="_15:_Cooperation_with" w:id="8"/>
      <w:bookmarkStart w:name="_Cooperation_with_Multilateral" w:id="9"/>
      <w:bookmarkStart w:name="_Toc242563986" w:id="10"/>
      <w:bookmarkEnd w:id="8"/>
      <w:r>
        <w:rPr>
          <w:rFonts w:ascii="Aptos" w:hAnsi="Aptos"/>
          <w:sz w:val="22"/>
          <w:szCs w:val="22"/>
        </w:rPr>
        <w:t xml:space="preserve">15: </w:t>
      </w:r>
      <w:hyperlink w:history="1" r:id="rId22">
        <w:r w:rsidRPr="00682E50">
          <w:rPr>
            <w:rStyle w:val="Hyperlink"/>
            <w:rFonts w:ascii="Aptos" w:hAnsi="Aptos"/>
            <w:sz w:val="22"/>
            <w:szCs w:val="22"/>
          </w:rPr>
          <w:t xml:space="preserve">Cooperación con los acuerdos multilaterales sobre el medio ambiente y otras organizaciones internacionales</w:t>
        </w:r>
        <w:bookmarkEnd w:id="9"/>
        <w:bookmarkEnd w:id="10"/>
      </w:hyperlink>
      <w:r w:rsidRPr="00682E50">
        <w:rPr>
          <w:rFonts w:ascii="Aptos" w:hAnsi="Aptos"/>
          <w:sz w:val="22"/>
          <w:szCs w:val="22"/>
        </w:rPr>
        <w:t xml:space="preserve"> </w:t>
      </w:r>
    </w:p>
    <w:p w:rsidR="00682E50" w:rsidP="00682E50" w:rsidRDefault="00682E50" w14:paraId="6A0D7AA2" w14:textId="77777777">
      <w:pPr>
        <w:pStyle w:val="SC81Normal"/>
        <w:spacing w:after="0"/>
      </w:pPr>
    </w:p>
    <w:p w:rsidR="00682E50" w:rsidP="00682E50" w:rsidRDefault="00682E50" w14:paraId="561984C8" w14:textId="087F6320">
      <w:pPr>
        <w:pStyle w:val="SC81Normal"/>
        <w:spacing w:after="0"/>
      </w:pPr>
      <w:r w:rsidRPr="00682E50">
        <w:t xml:space="preserve">Si bien tomamos nota y apoyamos la colaboración en curso con la ONUDD en el contexto de la ICCWC, la WCS alienta una mayor coordinación entre la CITES y la Convención de las Naciones Unidas contra la Delincuencia Organizada Transnacional (UNTOC). Esto es particularmente cierto si se considera la reciente participación de la Secretaría de la CITES en la labor del Grupo Intergubernamental de Expertos de la UNTOC sobre Delitos que Afectan al Medio Ambiente, y el próximo proyecto de resolución que se negociará en la COP13 de la UNTOC. Si se aprueba en su forma actual, este proyecto de resolución daría inicio a las negociaciones de un protocolo adicional de la UNTOC que abarque, entre otros delitos ambientales, el tráfico de fauna y flora silvestres, lo que haría que la coordinación entre la UNTOC y la CITES sea aún más importante. WCS insta al Comité de Secretaría a incluir a la UNTOC en el párrafo 8 (a) del Doc. 15.</w:t>
      </w:r>
    </w:p>
    <w:p w:rsidRPr="00682E50" w:rsidR="00682E50" w:rsidP="00682E50" w:rsidRDefault="00682E50" w14:paraId="39EDAC3F" w14:textId="77777777">
      <w:pPr>
        <w:pStyle w:val="SC81Normal"/>
        <w:spacing w:after="0"/>
      </w:pPr>
    </w:p>
    <w:p w:rsidRPr="00682E50" w:rsidR="00682E50" w:rsidP="00682E50" w:rsidRDefault="00682E50" w14:paraId="2C07CBAB" w14:textId="77777777">
      <w:pPr>
        <w:pStyle w:val="SC81Normal"/>
        <w:spacing w:after="0"/>
      </w:pPr>
      <w:r w:rsidRPr="00682E50">
        <w:t xml:space="preserve">En cuanto al Doc. Inf. 1, «Ejercicio de mapeo para la estrategia de asociación», aún no queda claro el motivo por el que se incluyó a algunas organizaciones no gubernamentales y no a otras, por lo que sugerimos que se amplíe.</w:t>
      </w:r>
    </w:p>
    <w:p w:rsidR="00682E50" w:rsidP="00682E50" w:rsidRDefault="00682E50" w14:paraId="421D1EE3" w14:textId="77777777">
      <w:pPr>
        <w:spacing w:line="240" w:lineRule="auto"/>
        <w:rPr>
          <w:rFonts w:ascii="Aptos" w:hAnsi="Aptos" w:eastAsia="Aptos" w:cs="Aptos"/>
          <w:b/>
          <w:bCs/>
          <w:lang w:val="en-US"/>
        </w:rPr>
      </w:pPr>
    </w:p>
    <w:p w:rsidRPr="00682E50" w:rsidR="00682E50" w:rsidP="00682E50" w:rsidRDefault="00682E50" w14:paraId="1F980727" w14:textId="77777777">
      <w:pPr>
        <w:spacing w:line="240" w:lineRule="auto"/>
        <w:rPr>
          <w:rFonts w:ascii="Aptos" w:hAnsi="Aptos" w:eastAsia="Aptos" w:cs="Aptos"/>
          <w:b/>
          <w:bCs/>
          <w:lang w:val="en-US"/>
        </w:rPr>
      </w:pPr>
    </w:p>
    <w:p w:rsidRPr="00682E50" w:rsidR="00682E50" w:rsidP="00682E50" w:rsidRDefault="00682E50" w14:paraId="7236B40B" w14:textId="77777777">
      <w:pPr>
        <w:pStyle w:val="Heading1"/>
        <w:rPr>
          <w:rFonts w:ascii="Aptos" w:hAnsi="Aptos"/>
          <w:sz w:val="22"/>
          <w:szCs w:val="22"/>
        </w:rPr>
      </w:pPr>
      <w:bookmarkStart w:name="_16:_IPBES_Assessment" w:id="11"/>
      <w:bookmarkStart w:name="_IPBES_Assessment_report" w:id="12"/>
      <w:bookmarkStart w:name="_Toc242563987" w:id="13"/>
      <w:bookmarkEnd w:id="11"/>
      <w:r w:rsidRPr="00682E50">
        <w:rPr>
          <w:rFonts w:ascii="Aptos" w:hAnsi="Aptos"/>
          <w:sz w:val="22"/>
          <w:szCs w:val="22"/>
        </w:rPr>
        <w:t xml:space="preserve">16: </w:t>
      </w:r>
      <w:hyperlink r:id="rId23">
        <w:r w:rsidRPr="00682E50">
          <w:rPr>
            <w:rStyle w:val="Hyperlink"/>
            <w:rFonts w:ascii="Aptos" w:hAnsi="Aptos"/>
            <w:sz w:val="22"/>
            <w:szCs w:val="22"/>
          </w:rPr>
          <w:t xml:space="preserve">Informe de evaluación de la IPBES sobre el uso sostenible de las especies silvestres</w:t>
        </w:r>
        <w:bookmarkEnd w:id="12"/>
        <w:bookmarkEnd w:id="13"/>
      </w:hyperlink>
      <w:r w:rsidRPr="00682E50">
        <w:rPr>
          <w:rFonts w:ascii="Aptos" w:hAnsi="Aptos"/>
          <w:sz w:val="22"/>
          <w:szCs w:val="22"/>
        </w:rPr>
        <w:t xml:space="preserve"> </w:t>
      </w:r>
    </w:p>
    <w:p w:rsidR="00682E50" w:rsidP="00682E50" w:rsidRDefault="00682E50" w14:paraId="7845B001" w14:textId="77777777">
      <w:pPr>
        <w:pStyle w:val="Heading"/>
        <w:rPr>
          <w:b w:val="0"/>
          <w:bCs w:val="0"/>
        </w:rPr>
      </w:pPr>
    </w:p>
    <w:p w:rsidRPr="00682E50" w:rsidR="00682E50" w:rsidP="00682E50" w:rsidRDefault="00682E50" w14:paraId="37A5F213" w14:textId="2657257B">
      <w:pPr>
        <w:pStyle w:val="Heading"/>
      </w:pPr>
      <w:r w:rsidRPr="00682E50">
        <w:rPr>
          <w:b w:val="0"/>
          <w:bCs w:val="0"/>
        </w:rPr>
        <w:t xml:space="preserve">Recomendamos una modificación editorial a la propuesta de Canadá relativa a la Res. Conf. 9.24 (Rev. CoP17): </w:t>
      </w:r>
      <w:r w:rsidRPr="00682E50">
        <w:rPr>
          <w:b w:val="0"/>
          <w:bCs w:val="0"/>
          <w:i/>
          <w:iCs/>
        </w:rPr>
        <w:t xml:space="preserve">«Acogiendo con beneplácito los resultados de la evaluación de la IPBES sobre el uso sostenible de las especies silvestres, solicitada por la CITES y el CDB, que ofrece enfoques orientados a políticas y soluciones </w:t>
      </w:r>
      <w:r w:rsidRPr="00682E50">
        <w:rPr>
          <w:b w:val="0"/>
          <w:bCs w:val="0"/>
          <w:i/>
          <w:iCs/>
          <w:color w:val="C00000"/>
          <w:u w:val="single"/>
        </w:rPr>
        <w:t xml:space="preserve">para garantizar que el uso de las especies silvestres sea sostenible </w:t>
      </w:r>
      <w:r w:rsidRPr="00682E50">
        <w:rPr>
          <w:b w:val="0"/>
          <w:bCs w:val="0"/>
          <w:i/>
          <w:iCs/>
          <w:strike/>
          <w:color w:val="C00000"/>
        </w:rPr>
        <w:t xml:space="preserve">con miras a un uso más sostenible de las especies silvestres</w:t>
      </w:r>
      <w:r w:rsidRPr="00682E50">
        <w:rPr>
          <w:b w:val="0"/>
          <w:bCs w:val="0"/>
          <w:i/>
          <w:iCs/>
        </w:rPr>
        <w:t xml:space="preserve">».</w:t>
      </w:r>
    </w:p>
    <w:p w:rsidRPr="00682E50" w:rsidR="00682E50" w:rsidP="00682E50" w:rsidRDefault="00682E50" w14:paraId="744481EA" w14:textId="77777777">
      <w:pPr>
        <w:pStyle w:val="Heading"/>
        <w:rPr>
          <w:b w:val="0"/>
          <w:bCs w:val="0"/>
        </w:rPr>
      </w:pPr>
    </w:p>
    <w:p w:rsidRPr="00682E50" w:rsidR="00682E50" w:rsidP="00682E50" w:rsidRDefault="00682E50" w14:paraId="0338E4FF" w14:textId="77777777">
      <w:pPr>
        <w:pStyle w:val="Heading"/>
        <w:rPr>
          <w:b w:val="0"/>
          <w:bCs w:val="0"/>
        </w:rPr>
      </w:pPr>
      <w:r w:rsidRPr="00682E50">
        <w:rPr>
          <w:b w:val="0"/>
          <w:bCs w:val="0"/>
        </w:rPr>
        <w:t xml:space="preserve">Creemos que puede ser valiosa la sugerencia de México de considerar cómo </w:t>
      </w:r>
      <w:r w:rsidRPr="00682E50">
        <w:rPr>
          <w:b w:val="0"/>
          <w:bCs w:val="0"/>
        </w:rPr>
        <w:t xml:space="preserve">se podría enmendar </w:t>
      </w:r>
      <w:r w:rsidRPr="00682E50">
        <w:rPr>
          <w:b w:val="0"/>
          <w:bCs w:val="0"/>
        </w:rPr>
        <w:t xml:space="preserve">la Res. Conf. 11.3 (Rev. CoP20) sobre </w:t>
      </w:r>
      <w:r w:rsidRPr="00682E50">
        <w:rPr>
          <w:b w:val="0"/>
          <w:bCs w:val="0"/>
          <w:i/>
          <w:iCs/>
        </w:rPr>
        <w:t xml:space="preserve">Cumplimiento y aplicación de la ley </w:t>
      </w:r>
      <w:r w:rsidRPr="00682E50">
        <w:rPr>
          <w:b w:val="0"/>
          <w:bCs w:val="0"/>
        </w:rPr>
        <w:t xml:space="preserve">para fortalecer la respuesta a la sobreexplotación, respetando al mismo tiempo el uso sostenible consuetudinario. Sin embargo, no creemos que esto requiera otro proceso de revisión de duración indefinida para la Res. Conf. 11.3 (Rev. CoP20), que se completó recientemente. </w:t>
      </w:r>
    </w:p>
    <w:p w:rsidRPr="00682E50" w:rsidR="00682E50" w:rsidP="00682E50" w:rsidRDefault="00682E50" w14:paraId="38B5CF32" w14:textId="77777777">
      <w:pPr>
        <w:pStyle w:val="Heading"/>
        <w:rPr>
          <w:b w:val="0"/>
          <w:bCs w:val="0"/>
        </w:rPr>
      </w:pPr>
    </w:p>
    <w:p w:rsidRPr="00682E50" w:rsidR="00682E50" w:rsidP="00682E50" w:rsidRDefault="00682E50" w14:paraId="31DA92B9" w14:textId="77777777">
      <w:pPr>
        <w:pStyle w:val="Heading"/>
      </w:pPr>
      <w:r w:rsidRPr="00682E50">
        <w:rPr>
          <w:b w:val="0"/>
          <w:bCs w:val="0"/>
        </w:rPr>
        <w:t xml:space="preserve">Nos oponemos firmemente a que el Comité Permanente y las Partes consideren las enmiendas a la Res. Conf. 9.24 (Rev. CoP17) propuestas por los observadores Conservation Force y Dallas Safari Club en la página 24. Las Partes ya consideraron esta opción en la CoP20 y rechazaron el enfoque; [véase </w:t>
      </w:r>
      <w:hyperlink r:id="rId24">
        <w:r w:rsidRPr="00682E50">
          <w:rPr>
            <w:rStyle w:val="Hyperlink"/>
            <w:b w:val="0"/>
            <w:bCs w:val="0"/>
          </w:rPr>
          <w:t xml:space="preserve">el Acta Resumida de la CoP20, Com. II, Rec. 4 (Rev. 1)</w:t>
        </w:r>
      </w:hyperlink>
      <w:r w:rsidRPr="00682E50">
        <w:rPr>
          <w:b w:val="0"/>
          <w:bCs w:val="0"/>
        </w:rPr>
        <w:t xml:space="preserve"> en relación con el Doc. 30 de la CoP20]. </w:t>
      </w:r>
    </w:p>
    <w:p w:rsidRPr="00682E50" w:rsidR="00682E50" w:rsidP="00682E50" w:rsidRDefault="00682E50" w14:paraId="293BA0B8" w14:textId="77777777">
      <w:pPr>
        <w:pStyle w:val="Heading"/>
        <w:rPr>
          <w:b w:val="0"/>
          <w:bCs w:val="0"/>
        </w:rPr>
      </w:pPr>
    </w:p>
    <w:p w:rsidRPr="00682E50" w:rsidR="00682E50" w:rsidP="00682E50" w:rsidRDefault="00682E50" w14:paraId="6F9180B1" w14:textId="77777777">
      <w:pPr>
        <w:pStyle w:val="Heading"/>
      </w:pPr>
      <w:r w:rsidRPr="00682E50">
        <w:rPr>
          <w:b w:val="0"/>
          <w:bCs w:val="0"/>
        </w:rPr>
        <w:t xml:space="preserve">Agradecemos la observación de Canadá de que la Res. Conf. 12.8 (Rev. CoP18) sobre </w:t>
      </w:r>
      <w:r w:rsidRPr="00682E50">
        <w:rPr>
          <w:b w:val="0"/>
          <w:bCs w:val="0"/>
          <w:i/>
          <w:iCs/>
        </w:rPr>
        <w:t xml:space="preserve">la revisión del comercio significativo de especímenes de especies del Apéndice II </w:t>
      </w:r>
      <w:r w:rsidRPr="00682E50">
        <w:rPr>
          <w:b w:val="0"/>
          <w:bCs w:val="0"/>
        </w:rPr>
        <w:t xml:space="preserve">ayuda a abordar la sobreexplotación, pero los cambios propuestos no son lo suficientemente claros en este momento como para justificar la negociación del texto de la resolución; el proceso es ampliamente respetado y suficiente en la actualidad. No estamos de acuerdo con que se sigan considerando las enmiendas propuestas por los observadores Conservation Force y Dallas Safari Club, las cuales ampliarían el alcance de la CITES más allá de su mandato y sus objetivos. </w:t>
      </w:r>
    </w:p>
    <w:p w:rsidR="00682E50" w:rsidP="00682E50" w:rsidRDefault="00682E50" w14:paraId="3C02FBF0" w14:textId="77777777">
      <w:pPr>
        <w:spacing w:line="240" w:lineRule="auto"/>
        <w:rPr>
          <w:rFonts w:ascii="Aptos" w:hAnsi="Aptos"/>
          <w:lang w:val="en-US"/>
        </w:rPr>
      </w:pPr>
    </w:p>
    <w:p w:rsidRPr="00682E50" w:rsidR="00682E50" w:rsidP="00682E50" w:rsidRDefault="00682E50" w14:paraId="2620126E" w14:textId="77777777">
      <w:pPr>
        <w:spacing w:line="240" w:lineRule="auto"/>
        <w:rPr>
          <w:rFonts w:ascii="Aptos" w:hAnsi="Aptos"/>
          <w:lang w:val="en-US"/>
        </w:rPr>
      </w:pPr>
    </w:p>
    <w:p w:rsidRPr="00682E50" w:rsidR="00682E50" w:rsidP="00682E50" w:rsidRDefault="00682E50" w14:paraId="598806C5" w14:textId="163CBAC9">
      <w:pPr>
        <w:pStyle w:val="Heading1"/>
        <w:rPr>
          <w:rFonts w:ascii="Aptos" w:hAnsi="Aptos"/>
          <w:sz w:val="22"/>
          <w:szCs w:val="22"/>
        </w:rPr>
      </w:pPr>
      <w:bookmarkStart w:name="_17:_Review_of" w:id="14"/>
      <w:bookmarkStart w:name="_Review_of_Resolution" w:id="15"/>
      <w:bookmarkStart w:name="_Toc242563988" w:id="16"/>
      <w:bookmarkEnd w:id="14"/>
      <w:r w:rsidRPr="00682E50">
        <w:rPr>
          <w:rFonts w:ascii="Aptos" w:hAnsi="Aptos"/>
          <w:sz w:val="22"/>
          <w:szCs w:val="22"/>
        </w:rPr>
        <w:t xml:space="preserve">17</w:t>
      </w:r>
      <w:r>
        <w:rPr>
          <w:rFonts w:ascii="Aptos" w:hAnsi="Aptos"/>
          <w:sz w:val="22"/>
          <w:szCs w:val="22"/>
        </w:rPr>
        <w:t xml:space="preserve">: </w:t>
      </w:r>
      <w:hyperlink r:id="rId25">
        <w:r w:rsidRPr="00682E50">
          <w:rPr>
            <w:rStyle w:val="Hyperlink"/>
            <w:rFonts w:ascii="Aptos" w:hAnsi="Aptos"/>
            <w:sz w:val="22"/>
            <w:szCs w:val="22"/>
          </w:rPr>
          <w:t xml:space="preserve">Revisión de la Resolución Conf. 10.4 (Rev. CoP14) y la Resolución Conf. 13.2 (Rev. CoP14)</w:t>
        </w:r>
        <w:bookmarkEnd w:id="15"/>
        <w:bookmarkEnd w:id="16"/>
      </w:hyperlink>
      <w:r w:rsidRPr="00682E50">
        <w:rPr>
          <w:rFonts w:ascii="Aptos" w:hAnsi="Aptos"/>
          <w:sz w:val="22"/>
          <w:szCs w:val="22"/>
        </w:rPr>
        <w:t xml:space="preserve"> </w:t>
      </w:r>
    </w:p>
    <w:p w:rsidR="00682E50" w:rsidP="00682E50" w:rsidRDefault="00682E50" w14:paraId="12969D0C" w14:textId="77777777">
      <w:pPr>
        <w:pStyle w:val="SC81Normal"/>
        <w:spacing w:after="0"/>
      </w:pPr>
    </w:p>
    <w:p w:rsidRPr="00682E50" w:rsidR="00682E50" w:rsidP="00682E50" w:rsidRDefault="00682E50" w14:paraId="52789293" w14:textId="247E0BC7">
      <w:pPr>
        <w:pStyle w:val="SC81Normal"/>
        <w:spacing w:after="0"/>
      </w:pPr>
      <w:r w:rsidRPr="00682E50">
        <w:t xml:space="preserve">Recomendamos que el Comité de Secretaría respalde la Opción 2: fusionar la Resolución Conf. 10.4 (Rev. CoP14) y la Resolución Conf. 13.2 (Rev. CoP14) en una sola resolución que podría titularse </w:t>
      </w:r>
      <w:r w:rsidRPr="00682E50">
        <w:rPr>
          <w:i/>
          <w:iCs/>
        </w:rPr>
        <w:t xml:space="preserve">«Cooperación y sinergias entre la CITES y el CDB</w:t>
      </w:r>
      <w:r w:rsidRPr="00682E50">
        <w:t xml:space="preserve">».</w:t>
      </w:r>
    </w:p>
    <w:p w:rsidR="00682E50" w:rsidP="00682E50" w:rsidRDefault="00682E50" w14:paraId="07214121" w14:textId="77777777">
      <w:pPr>
        <w:pStyle w:val="SC81Normal"/>
        <w:spacing w:after="0"/>
      </w:pPr>
    </w:p>
    <w:p w:rsidRPr="00682E50" w:rsidR="00682E50" w:rsidP="00682E50" w:rsidRDefault="00682E50" w14:paraId="769BF787" w14:textId="3713A156">
      <w:pPr>
        <w:pStyle w:val="SC81Normal"/>
        <w:spacing w:after="0"/>
      </w:pPr>
      <w:r w:rsidRPr="00682E50">
        <w:t xml:space="preserve">La consolidación es preferible a la Opción 1. No nos oponemos necesariamente a la Opción 3, pero podría eclipsar aspectos importantes como el valor único del mecanismo financiero del CDB para la implementación de la CITES. </w:t>
      </w:r>
    </w:p>
    <w:p w:rsidR="00682E50" w:rsidP="00682E50" w:rsidRDefault="00682E50" w14:paraId="5873E5FC" w14:textId="77777777">
      <w:pPr>
        <w:spacing w:line="240" w:lineRule="auto"/>
        <w:rPr>
          <w:rFonts w:ascii="Aptos" w:hAnsi="Aptos" w:eastAsia="Aptos" w:cs="Aptos"/>
          <w:lang w:val="en-US"/>
        </w:rPr>
      </w:pPr>
    </w:p>
    <w:p w:rsidRPr="00682E50" w:rsidR="00682E50" w:rsidP="00682E50" w:rsidRDefault="00682E50" w14:paraId="0BF5AF9B" w14:textId="77777777">
      <w:pPr>
        <w:spacing w:line="240" w:lineRule="auto"/>
        <w:rPr>
          <w:rFonts w:ascii="Aptos" w:hAnsi="Aptos" w:eastAsia="Aptos" w:cs="Aptos"/>
          <w:lang w:val="en-US"/>
        </w:rPr>
      </w:pPr>
    </w:p>
    <w:p w:rsidRPr="00682E50" w:rsidR="00682E50" w:rsidP="00682E50" w:rsidRDefault="00682E50" w14:paraId="714ADC9F" w14:textId="2E8436B9">
      <w:pPr>
        <w:pStyle w:val="Heading1"/>
        <w:rPr>
          <w:rFonts w:ascii="Aptos" w:hAnsi="Aptos"/>
          <w:sz w:val="22"/>
          <w:szCs w:val="22"/>
        </w:rPr>
      </w:pPr>
      <w:bookmarkStart w:name="_18:_World_Wildlife" w:id="17"/>
      <w:bookmarkStart w:name="_World_Wildlife_Trade" w:id="18"/>
      <w:bookmarkStart w:name="_Toc242563989" w:id="19"/>
      <w:bookmarkEnd w:id="17"/>
      <w:r>
        <w:rPr>
          <w:rFonts w:ascii="Aptos" w:hAnsi="Aptos"/>
          <w:sz w:val="22"/>
          <w:szCs w:val="22"/>
        </w:rPr>
        <w:t xml:space="preserve">18: </w:t>
      </w:r>
      <w:hyperlink r:id="rId26">
        <w:r w:rsidRPr="00682E50">
          <w:rPr>
            <w:rStyle w:val="Hyperlink"/>
            <w:rFonts w:ascii="Aptos" w:hAnsi="Aptos"/>
            <w:sz w:val="22"/>
            <w:szCs w:val="22"/>
          </w:rPr>
          <w:t xml:space="preserve">Informe sobre el comercio mundial de vida silvestre (Decisiones 20.18 y 20.19)</w:t>
        </w:r>
        <w:bookmarkEnd w:id="18"/>
        <w:bookmarkEnd w:id="19"/>
      </w:hyperlink>
      <w:r w:rsidRPr="00682E50">
        <w:rPr>
          <w:rFonts w:ascii="Aptos" w:hAnsi="Aptos"/>
          <w:sz w:val="22"/>
          <w:szCs w:val="22"/>
        </w:rPr>
        <w:t xml:space="preserve"> </w:t>
      </w:r>
    </w:p>
    <w:p w:rsidR="00682E50" w:rsidP="00682E50" w:rsidRDefault="00682E50" w14:paraId="33528A16" w14:textId="77777777">
      <w:pPr>
        <w:pStyle w:val="Heading"/>
        <w:rPr>
          <w:b w:val="0"/>
          <w:bCs w:val="0"/>
        </w:rPr>
      </w:pPr>
    </w:p>
    <w:p w:rsidRPr="00682E50" w:rsidR="00682E50" w:rsidP="00682E50" w:rsidRDefault="00682E50" w14:paraId="5FFEA510" w14:textId="21CC3D25">
      <w:pPr>
        <w:pStyle w:val="Heading"/>
      </w:pPr>
      <w:r w:rsidRPr="00682E50">
        <w:rPr>
          <w:b w:val="0"/>
          <w:bCs w:val="0"/>
        </w:rPr>
        <w:t xml:space="preserve">La WCS no considera que este informe deba ser una prioridad para la Secretaría; sin embargo, reconocemos que las Partes han proporcionado fondos extrapresupuestarios específicamente para este fin. En caso de que se elabore este informe, debería presentarse como documento informativo a la CoP21. </w:t>
      </w:r>
    </w:p>
    <w:p w:rsidRPr="00682E50" w:rsidR="00682E50" w:rsidP="00682E50" w:rsidRDefault="00682E50" w14:paraId="470F46D5" w14:textId="77777777">
      <w:pPr>
        <w:pStyle w:val="Heading"/>
        <w:rPr>
          <w:b w:val="0"/>
          <w:bCs w:val="0"/>
        </w:rPr>
      </w:pPr>
    </w:p>
    <w:p w:rsidRPr="00682E50" w:rsidR="00682E50" w:rsidP="00682E50" w:rsidRDefault="00682E50" w14:paraId="301D2210" w14:textId="4298B7A7">
      <w:pPr>
        <w:pStyle w:val="Heading"/>
        <w:rPr>
          <w:b w:val="0"/>
          <w:bCs w:val="0"/>
        </w:rPr>
      </w:pPr>
      <w:r w:rsidRPr="00682E50">
        <w:rPr>
          <w:b w:val="0"/>
          <w:bCs w:val="0"/>
        </w:rPr>
        <w:t xml:space="preserve">Podemos apoyar el alcance de un informe que contenga información sobre: </w:t>
      </w:r>
    </w:p>
    <w:p w:rsidRPr="00682E50" w:rsidR="00682E50" w:rsidP="00682E50" w:rsidRDefault="00682E50" w14:paraId="68B07AA1" w14:textId="77777777">
      <w:pPr>
        <w:pStyle w:val="Heading"/>
        <w:numPr>
          <w:ilvl w:val="0"/>
          <w:numId w:val="11"/>
        </w:numPr>
        <w:rPr>
          <w:b w:val="0"/>
          <w:bCs w:val="0"/>
        </w:rPr>
      </w:pPr>
      <w:r w:rsidRPr="00682E50">
        <w:rPr>
          <w:b w:val="0"/>
          <w:bCs w:val="0"/>
        </w:rPr>
        <w:t xml:space="preserve">Alcance geográfico (p. ej., aumento en el número de Partes)</w:t>
      </w:r>
    </w:p>
    <w:p w:rsidRPr="00682E50" w:rsidR="00682E50" w:rsidP="00682E50" w:rsidRDefault="00682E50" w14:paraId="555D62E1" w14:textId="77777777">
      <w:pPr>
        <w:pStyle w:val="Heading"/>
        <w:numPr>
          <w:ilvl w:val="0"/>
          <w:numId w:val="11"/>
        </w:numPr>
        <w:rPr>
          <w:b w:val="0"/>
          <w:bCs w:val="0"/>
        </w:rPr>
      </w:pPr>
      <w:r w:rsidRPr="00682E50">
        <w:rPr>
          <w:b w:val="0"/>
          <w:bCs w:val="0"/>
        </w:rPr>
        <w:t xml:space="preserve">Cobertura taxonómica de las listas</w:t>
      </w:r>
    </w:p>
    <w:p w:rsidRPr="00682E50" w:rsidR="00682E50" w:rsidP="00682E50" w:rsidRDefault="00682E50" w14:paraId="7AA73D42" w14:textId="77777777">
      <w:pPr>
        <w:pStyle w:val="Heading"/>
        <w:numPr>
          <w:ilvl w:val="0"/>
          <w:numId w:val="11"/>
        </w:numPr>
        <w:rPr>
          <w:b w:val="0"/>
          <w:bCs w:val="0"/>
        </w:rPr>
      </w:pPr>
      <w:r w:rsidRPr="00682E50">
        <w:rPr>
          <w:b w:val="0"/>
          <w:bCs w:val="0"/>
        </w:rPr>
        <w:t xml:space="preserve">Escala de las transacciones de especies incluidas en la CITES</w:t>
      </w:r>
    </w:p>
    <w:p w:rsidRPr="00682E50" w:rsidR="00682E50" w:rsidP="00682E50" w:rsidRDefault="00682E50" w14:paraId="7CE5FFEA" w14:textId="77777777">
      <w:pPr>
        <w:pStyle w:val="Heading"/>
        <w:numPr>
          <w:ilvl w:val="0"/>
          <w:numId w:val="11"/>
        </w:numPr>
        <w:rPr>
          <w:b w:val="0"/>
          <w:bCs w:val="0"/>
        </w:rPr>
      </w:pPr>
      <w:r w:rsidRPr="00682E50">
        <w:rPr>
          <w:b w:val="0"/>
          <w:bCs w:val="0"/>
        </w:rPr>
        <w:lastRenderedPageBreak/>
      </w:r>
      <w:r w:rsidRPr="00682E50">
        <w:rPr>
          <w:b w:val="0"/>
          <w:bCs w:val="0"/>
        </w:rPr>
        <w:t xml:space="preserve">Las proporciones más significativas de las exportaciones documentadas</w:t>
      </w:r>
    </w:p>
    <w:p w:rsidRPr="00682E50" w:rsidR="00682E50" w:rsidP="00682E50" w:rsidRDefault="00682E50" w14:paraId="1E97A647" w14:textId="77777777">
      <w:pPr>
        <w:pStyle w:val="Heading"/>
        <w:numPr>
          <w:ilvl w:val="0"/>
          <w:numId w:val="11"/>
        </w:numPr>
        <w:rPr>
          <w:b w:val="0"/>
          <w:bCs w:val="0"/>
        </w:rPr>
      </w:pPr>
      <w:r w:rsidRPr="00682E50">
        <w:rPr>
          <w:b w:val="0"/>
          <w:bCs w:val="0"/>
        </w:rPr>
        <w:t xml:space="preserve">Cambios significativos en las exportaciones, por ejemplo, el cambio hacia especímenes criados en cautiverio —siempre que dichos datos no se antepongan ni prejuzguen ninguna conclusión de las discusiones del Comité de Acción (AC) y del Comité de Conservación (SC) con respecto a la cría en cautiverio</w:t>
      </w:r>
    </w:p>
    <w:p w:rsidRPr="00682E50" w:rsidR="00682E50" w:rsidP="00682E50" w:rsidRDefault="00682E50" w14:paraId="3AD2A56B" w14:textId="77777777">
      <w:pPr>
        <w:pStyle w:val="Heading"/>
        <w:numPr>
          <w:ilvl w:val="0"/>
          <w:numId w:val="11"/>
        </w:numPr>
        <w:rPr>
          <w:b w:val="0"/>
          <w:bCs w:val="0"/>
        </w:rPr>
      </w:pPr>
      <w:r w:rsidRPr="00682E50">
        <w:rPr>
          <w:b w:val="0"/>
          <w:bCs w:val="0"/>
        </w:rPr>
        <w:t xml:space="preserve">Análisis destacados de las inclusiones recientes, con un enfoque objetivo que no dé mayor importancia a la experiencia de un país en detrimento de otros</w:t>
      </w:r>
    </w:p>
    <w:p w:rsidRPr="00682E50" w:rsidR="00682E50" w:rsidP="00682E50" w:rsidRDefault="00682E50" w14:paraId="3E20D97B" w14:textId="77777777">
      <w:pPr>
        <w:pStyle w:val="Heading"/>
        <w:numPr>
          <w:ilvl w:val="0"/>
          <w:numId w:val="11"/>
        </w:numPr>
        <w:rPr>
          <w:b w:val="0"/>
          <w:bCs w:val="0"/>
        </w:rPr>
      </w:pPr>
      <w:r w:rsidRPr="00682E50">
        <w:rPr>
          <w:b w:val="0"/>
          <w:bCs w:val="0"/>
        </w:rPr>
        <w:t xml:space="preserve">Tendencias regionales en las exportaciones</w:t>
      </w:r>
    </w:p>
    <w:p w:rsidRPr="00682E50" w:rsidR="00682E50" w:rsidP="00682E50" w:rsidRDefault="00682E50" w14:paraId="0D4414D6" w14:textId="77777777">
      <w:pPr>
        <w:pStyle w:val="Heading"/>
        <w:rPr>
          <w:b w:val="0"/>
          <w:bCs w:val="0"/>
        </w:rPr>
      </w:pPr>
    </w:p>
    <w:p w:rsidRPr="00682E50" w:rsidR="00682E50" w:rsidP="00682E50" w:rsidRDefault="00682E50" w14:paraId="07DFFE5B" w14:textId="77777777">
      <w:pPr>
        <w:pStyle w:val="Heading"/>
      </w:pPr>
      <w:r w:rsidRPr="00682E50">
        <w:rPr>
          <w:b w:val="0"/>
          <w:bCs w:val="0"/>
        </w:rPr>
        <w:t xml:space="preserve">No recomendamos que se incluya una sección sobre tendencias emergentes a menos que se describan dentro del alcance mencionado anteriormente (por ejemplo, cambios en las transacciones de la CITES). </w:t>
      </w:r>
    </w:p>
    <w:p w:rsidR="00682E50" w:rsidP="00682E50" w:rsidRDefault="00682E50" w14:paraId="372DADC5" w14:textId="77777777">
      <w:pPr>
        <w:pStyle w:val="Heading"/>
        <w:rPr>
          <w:b w:val="0"/>
          <w:bCs w:val="0"/>
        </w:rPr>
      </w:pPr>
      <w:bookmarkStart w:name="_Compliance_Assistance_Programme" w:id="20"/>
    </w:p>
    <w:p w:rsidRPr="00682E50" w:rsidR="00682E50" w:rsidP="00682E50" w:rsidRDefault="00682E50" w14:paraId="49C5D7C0" w14:textId="77777777">
      <w:pPr>
        <w:pStyle w:val="Heading"/>
        <w:rPr>
          <w:b w:val="0"/>
          <w:bCs w:val="0"/>
        </w:rPr>
      </w:pPr>
    </w:p>
    <w:p w:rsidRPr="00682E50" w:rsidR="00682E50" w:rsidP="00682E50" w:rsidRDefault="00682E50" w14:paraId="6E7027B2" w14:textId="09384472">
      <w:pPr>
        <w:pStyle w:val="Heading1"/>
        <w:rPr>
          <w:rFonts w:ascii="Aptos" w:hAnsi="Aptos"/>
          <w:sz w:val="22"/>
          <w:szCs w:val="22"/>
          <w:lang w:val="en-SG"/>
        </w:rPr>
      </w:pPr>
      <w:bookmarkStart w:name="_23:_Compliance_Assistance" w:id="21"/>
      <w:bookmarkStart w:name="_Toc242563990" w:id="22"/>
      <w:bookmarkEnd w:id="21"/>
      <w:r>
        <w:rPr>
          <w:rFonts w:ascii="Aptos" w:hAnsi="Aptos"/>
          <w:sz w:val="22"/>
          <w:szCs w:val="22"/>
        </w:rPr>
        <w:t xml:space="preserve">23: </w:t>
      </w:r>
      <w:hyperlink w:history="1" r:id="rId27">
        <w:r w:rsidRPr="00682E50">
          <w:rPr>
            <w:rStyle w:val="Hyperlink"/>
            <w:rFonts w:ascii="Aptos" w:hAnsi="Aptos"/>
            <w:sz w:val="22"/>
            <w:szCs w:val="22"/>
            <w:lang w:val="en-SG"/>
          </w:rPr>
          <w:t xml:space="preserve">Programa de Asistencia para el Cumplimiento (Decisión 20.26)</w:t>
        </w:r>
        <w:bookmarkEnd w:id="20"/>
        <w:bookmarkEnd w:id="22"/>
      </w:hyperlink>
      <w:r w:rsidRPr="00682E50">
        <w:rPr>
          <w:rFonts w:ascii="Aptos" w:hAnsi="Aptos"/>
          <w:sz w:val="22"/>
          <w:szCs w:val="22"/>
          <w:lang w:val="en-SG"/>
        </w:rPr>
        <w:t xml:space="preserve"> </w:t>
      </w:r>
    </w:p>
    <w:p w:rsidR="00682E50" w:rsidP="00682E50" w:rsidRDefault="00682E50" w14:paraId="08869113" w14:textId="77777777">
      <w:pPr>
        <w:spacing w:line="240" w:lineRule="auto"/>
        <w:rPr>
          <w:rFonts w:ascii="Aptos" w:hAnsi="Aptos" w:eastAsia="Aptos" w:cs="Aptos"/>
          <w:color w:val="B8CCE4" w:themeColor="accent1" w:themeTint="66"/>
          <w:lang w:val="en-SG"/>
        </w:rPr>
      </w:pPr>
    </w:p>
    <w:p w:rsidR="07F3C68A" w:rsidP="164385D1" w:rsidRDefault="07F3C68A" w14:paraId="41039E47" w14:textId="51D684A5">
      <w:pPr>
        <w:spacing w:line="240" w:lineRule="auto"/>
      </w:pPr>
      <w:r w:rsidRPr="164385D1">
        <w:rPr>
          <w:rFonts w:ascii="Aptos" w:hAnsi="Aptos" w:eastAsia="Aptos" w:cs="Aptos"/>
          <w:lang w:val="en-SG"/>
        </w:rPr>
        <w:t xml:space="preserve">La WCS elogia los esfuerzos de la Secretaría y la participación voluntaria de Camboya, Guinea, la República Democrática Popular Lao, Nigeria, las Islas Salomón, Surinam, Togo y Vietnam en el CAP.   </w:t>
      </w:r>
    </w:p>
    <w:p w:rsidR="164385D1" w:rsidP="164385D1" w:rsidRDefault="164385D1" w14:paraId="2EF83AB7" w14:textId="488C4611">
      <w:pPr>
        <w:spacing w:line="240" w:lineRule="auto"/>
        <w:rPr>
          <w:rFonts w:ascii="Aptos" w:hAnsi="Aptos" w:eastAsia="Aptos" w:cs="Aptos"/>
          <w:lang w:val="en-SG"/>
        </w:rPr>
      </w:pPr>
    </w:p>
    <w:p w:rsidR="07F3C68A" w:rsidP="164385D1" w:rsidRDefault="07F3C68A" w14:paraId="2A018C7A" w14:textId="131CA906">
      <w:pPr>
        <w:spacing w:line="240" w:lineRule="auto"/>
        <w:rPr>
          <w:rFonts w:ascii="Aptos" w:hAnsi="Aptos" w:eastAsia="Aptos" w:cs="Aptos"/>
          <w:lang w:val="en-SG"/>
        </w:rPr>
      </w:pPr>
      <w:r w:rsidRPr="164385D1">
        <w:rPr>
          <w:rFonts w:ascii="Aptos" w:hAnsi="Aptos" w:eastAsia="Aptos" w:cs="Aptos"/>
          <w:lang w:val="en-SG"/>
        </w:rPr>
        <w:t xml:space="preserve">Acogemos con especial satisfacción la referencia del documento a períodos de implementación más largos, en contraposición al plazo tradicional de un año, ya que algunas de las reformas estructurales respaldadas por el CAP a menudo requieren más tiempo para lograr resultados significativos.  </w:t>
      </w:r>
    </w:p>
    <w:p w:rsidR="164385D1" w:rsidP="164385D1" w:rsidRDefault="164385D1" w14:paraId="7D469096" w14:textId="0FE70B96">
      <w:pPr>
        <w:spacing w:line="240" w:lineRule="auto"/>
        <w:rPr>
          <w:rFonts w:ascii="Aptos" w:hAnsi="Aptos" w:eastAsia="Aptos" w:cs="Aptos"/>
          <w:lang w:val="en-SG"/>
        </w:rPr>
      </w:pPr>
    </w:p>
    <w:p w:rsidR="07F3C68A" w:rsidP="164385D1" w:rsidRDefault="07F3C68A" w14:paraId="2034D689" w14:textId="20FDA6C3">
      <w:pPr>
        <w:spacing w:line="240" w:lineRule="auto"/>
        <w:rPr>
          <w:rFonts w:ascii="Aptos" w:hAnsi="Aptos" w:eastAsia="Aptos" w:cs="Aptos"/>
          <w:lang w:val="en-SG"/>
        </w:rPr>
      </w:pPr>
      <w:r w:rsidRPr="164385D1">
        <w:rPr>
          <w:rFonts w:ascii="Aptos" w:hAnsi="Aptos" w:eastAsia="Aptos" w:cs="Aptos"/>
          <w:lang w:val="en-SG"/>
        </w:rPr>
        <w:t xml:space="preserve">La WCS sigue observando que el CAP presta poca atención a la aplicación de la ley y lo alienta a desempeñar un papel más activo en el fortalecimiento de los esfuerzos para combatir el comercio ilegal, complementando el trabajo de la ICCWC y abordando las brechas críticas, cuando sea posible.</w:t>
      </w:r>
    </w:p>
    <w:p w:rsidR="00682E50" w:rsidP="164385D1" w:rsidRDefault="00682E50" w14:paraId="064432DA" w14:textId="77777777">
      <w:pPr>
        <w:spacing w:line="240" w:lineRule="auto"/>
        <w:rPr>
          <w:rFonts w:ascii="Aptos" w:hAnsi="Aptos" w:eastAsia="Aptos" w:cs="Aptos"/>
          <w:color w:val="B8CCE4" w:themeColor="accent1" w:themeTint="66"/>
          <w:lang w:val="en-SG"/>
        </w:rPr>
      </w:pPr>
    </w:p>
    <w:p w:rsidRPr="00682E50" w:rsidR="00682E50" w:rsidP="00682E50" w:rsidRDefault="00682E50" w14:paraId="29912716" w14:textId="77777777">
      <w:pPr>
        <w:spacing w:line="240" w:lineRule="auto"/>
        <w:rPr>
          <w:rFonts w:ascii="Aptos" w:hAnsi="Aptos" w:eastAsia="Aptos" w:cs="Aptos"/>
          <w:b/>
          <w:bCs/>
          <w:lang w:val="en-SG"/>
        </w:rPr>
      </w:pPr>
    </w:p>
    <w:p w:rsidRPr="00682E50" w:rsidR="00682E50" w:rsidP="00682E50" w:rsidRDefault="00682E50" w14:paraId="2D782E5D" w14:textId="2DFF1189">
      <w:pPr>
        <w:pStyle w:val="Heading1"/>
        <w:rPr>
          <w:rFonts w:ascii="Aptos" w:hAnsi="Aptos"/>
          <w:sz w:val="22"/>
          <w:szCs w:val="22"/>
        </w:rPr>
      </w:pPr>
      <w:bookmarkStart w:name="_27:_Indigenous_peoples" w:id="23"/>
      <w:bookmarkStart w:name="_Indigenous_peoples_and" w:id="24"/>
      <w:bookmarkStart w:name="_Toc242563991" w:id="25"/>
      <w:bookmarkEnd w:id="23"/>
      <w:r>
        <w:rPr>
          <w:rFonts w:ascii="Aptos" w:hAnsi="Aptos"/>
          <w:sz w:val="22"/>
          <w:szCs w:val="22"/>
        </w:rPr>
        <w:t xml:space="preserve">27: </w:t>
      </w:r>
      <w:hyperlink w:history="1" r:id="rId28">
        <w:r w:rsidRPr="00682E50">
          <w:rPr>
            <w:rStyle w:val="Hyperlink"/>
            <w:rFonts w:ascii="Aptos" w:hAnsi="Aptos"/>
            <w:sz w:val="22"/>
            <w:szCs w:val="22"/>
            <w:lang w:val="en-SG"/>
          </w:rPr>
          <w:t xml:space="preserve">Pueblos indígenas y comunidades locales (Decisión 20.33)</w:t>
        </w:r>
        <w:bookmarkEnd w:id="24"/>
        <w:bookmarkEnd w:id="25"/>
      </w:hyperlink>
      <w:r w:rsidRPr="00682E50">
        <w:rPr>
          <w:rFonts w:ascii="Aptos" w:hAnsi="Aptos"/>
          <w:sz w:val="22"/>
          <w:szCs w:val="22"/>
          <w:lang w:val="en-SG"/>
        </w:rPr>
        <w:t xml:space="preserve"> </w:t>
      </w:r>
    </w:p>
    <w:p w:rsidR="00682E50" w:rsidP="00682E50" w:rsidRDefault="00682E50" w14:paraId="590F16F9" w14:textId="77777777">
      <w:pPr>
        <w:spacing w:line="240" w:lineRule="auto"/>
        <w:rPr>
          <w:rFonts w:ascii="Aptos" w:hAnsi="Aptos" w:eastAsia="Aptos" w:cs="Aptos"/>
          <w:lang w:val="en-US"/>
        </w:rPr>
      </w:pPr>
    </w:p>
    <w:p w:rsidRPr="00682E50" w:rsidR="00682E50" w:rsidP="00682E50" w:rsidRDefault="00682E50" w14:paraId="769782EB" w14:textId="376FDA1B">
      <w:pPr>
        <w:spacing w:line="240" w:lineRule="auto"/>
        <w:rPr>
          <w:rFonts w:ascii="Aptos" w:hAnsi="Aptos" w:eastAsia="Aptos" w:cs="Aptos"/>
          <w:lang w:val="en-US"/>
        </w:rPr>
      </w:pPr>
      <w:r w:rsidRPr="00682E50">
        <w:rPr>
          <w:rFonts w:ascii="Aptos" w:hAnsi="Aptos" w:eastAsia="Aptos" w:cs="Aptos"/>
          <w:lang w:val="en-US"/>
        </w:rPr>
        <w:t xml:space="preserve">WCS comprende, respeta y apoya plenamente el papel vital que desempeñan los pueblos indígenas y las comunidades locales en la conservación en todo el mundo. Reconocemos y respetamos plenamente sus derechos, tal como están consagrados en la Declaración de las Naciones Unidas sobre los Derechos de los Pueblos Indígenas (UNDRIP) y en la Declaración Universal de los Derechos Humanos. En todo el mundo, a través de nuestros programas de campo en más de 55 países, la WCS colabora con los pueblos indígenas y las comunidades locales para alcanzar una visión compartida de un futuro más seguro, inclusivo, justo, equitativo y resiliente, en el que la vida silvestre prospere en tierras y mares saludables, valorados por sociedades y comunidades que acogen y se benefician de la diversidad y la integridad de la vida en la Tierra. </w:t>
      </w:r>
    </w:p>
    <w:p w:rsidR="00682E50" w:rsidP="00682E50" w:rsidRDefault="00682E50" w14:paraId="6983F331" w14:textId="77777777">
      <w:pPr>
        <w:spacing w:line="240" w:lineRule="auto"/>
        <w:rPr>
          <w:rFonts w:ascii="Aptos" w:hAnsi="Aptos" w:eastAsia="Aptos" w:cs="Aptos"/>
          <w:lang w:val="en-US"/>
        </w:rPr>
      </w:pPr>
    </w:p>
    <w:p w:rsidRPr="00682E50" w:rsidR="00682E50" w:rsidP="00682E50" w:rsidRDefault="00682E50" w14:paraId="2D86691C" w14:textId="32F12E24">
      <w:pPr>
        <w:spacing w:line="240" w:lineRule="auto"/>
        <w:rPr>
          <w:rFonts w:ascii="Aptos" w:hAnsi="Aptos" w:eastAsia="Aptos" w:cs="Aptos"/>
          <w:lang w:val="en-US"/>
        </w:rPr>
      </w:pPr>
      <w:r w:rsidRPr="00682E50">
        <w:rPr>
          <w:rFonts w:ascii="Aptos" w:hAnsi="Aptos" w:eastAsia="Aptos" w:cs="Aptos"/>
          <w:lang w:val="en-US"/>
        </w:rPr>
        <w:t xml:space="preserve">WCS considera que los gobiernos de las Partes deben llevar a cabo una participación sólida y significativa con los pueblos indígenas y las comunidades locales en la implementación y el cumplimiento de la CITES, de acuerdo con sus respectivos marcos legales. Apoyamos firmemente la participación a nivel nacional de los pueblos indígenas y las comunidades locales en la implementación y el cumplimiento de la CITES, así como en el cumplimiento de </w:t>
      </w:r>
      <w:hyperlink r:id="rId29">
        <w:r w:rsidRPr="00682E50">
          <w:rPr>
            <w:rStyle w:val="Hyperlink"/>
            <w:rFonts w:ascii="Aptos" w:hAnsi="Aptos" w:eastAsia="Aptos" w:cs="Aptos"/>
            <w:color w:val="467886"/>
            <w:lang w:val="en-US"/>
          </w:rPr>
          <w:t xml:space="preserve">la Meta 5</w:t>
        </w:r>
      </w:hyperlink>
      <w:r w:rsidRPr="00682E50">
        <w:rPr>
          <w:rFonts w:ascii="Aptos" w:hAnsi="Aptos" w:eastAsia="Aptos" w:cs="Aptos"/>
          <w:lang w:val="en-US"/>
        </w:rPr>
        <w:t xml:space="preserve"> del Marco Global para la Biodiversidad (GBF). Con ese fin, respaldamos firmemente los procesos a nivel nacional para involucrar a los pueblos indígenas y las comunidades locales en los procesos y reuniones de la CITES, a fin de garantizar que sus voces estén bien representadas.   </w:t>
      </w:r>
    </w:p>
    <w:p w:rsidR="00682E50" w:rsidP="00682E50" w:rsidRDefault="00682E50" w14:paraId="0442D4E7" w14:textId="77777777">
      <w:pPr>
        <w:spacing w:line="240" w:lineRule="auto"/>
        <w:rPr>
          <w:rFonts w:ascii="Aptos" w:hAnsi="Aptos" w:eastAsia="Aptos" w:cs="Aptos"/>
          <w:lang w:val="en-US"/>
        </w:rPr>
      </w:pPr>
    </w:p>
    <w:p w:rsidRPr="00682E50" w:rsidR="00682E50" w:rsidP="00682E50" w:rsidRDefault="00682E50" w14:paraId="187B14B1" w14:textId="06159005">
      <w:pPr>
        <w:spacing w:line="240" w:lineRule="auto"/>
        <w:rPr>
          <w:rFonts w:ascii="Aptos" w:hAnsi="Aptos" w:eastAsia="Aptos" w:cs="Aptos"/>
          <w:lang w:val="en-US"/>
        </w:rPr>
      </w:pPr>
      <w:r w:rsidRPr="00682E50">
        <w:rPr>
          <w:rFonts w:ascii="Aptos" w:hAnsi="Aptos" w:eastAsia="Aptos" w:cs="Aptos"/>
          <w:lang w:val="en-US"/>
        </w:rPr>
        <w:t xml:space="preserve">Observamos que, además de los beneficios económicos y otros beneficios relacionados con los medios de vida que pueden derivarse de </w:t>
      </w:r>
      <w:r w:rsidRPr="00682E50">
        <w:rPr>
          <w:rFonts w:ascii="Aptos" w:hAnsi="Aptos" w:eastAsia="Aptos" w:cs="Aptos"/>
          <w:lang w:val="en-US"/>
        </w:rPr>
        <w:t xml:space="preserve">una aplicación efectiva y equitativa de la CITES y la legislación nacional, existe un riesgo significativo de daño a los medios de vida locales y a los valores culturales si la explotación y el comercio de vida silvestre son ilegales y/o insustentables, o si representan un riesgo de propagación de patógenos. Por definición, el comercio siempre genera un beneficio económico para alguien, pero rara vez se distribuye de manera significativa y equitativa entre los pueblos indígenas (PI) o </w:t>
      </w:r>
      <w:r w:rsidRPr="00682E50">
        <w:rPr>
          <w:rFonts w:ascii="Aptos" w:hAnsi="Aptos" w:eastAsia="Aptos" w:cs="Aptos"/>
          <w:lang w:val="en-US"/>
        </w:rPr>
        <w:t xml:space="preserve">las comunidades locales e</w:t>
      </w:r>
      <w:r w:rsidRPr="00682E50">
        <w:rPr>
          <w:rFonts w:ascii="Aptos" w:hAnsi="Aptos" w:eastAsia="Aptos" w:cs="Aptos"/>
          <w:lang w:val="en-US"/>
        </w:rPr>
        <w:lastRenderedPageBreak/>
      </w:r>
      <w:r w:rsidRPr="00682E50">
        <w:rPr>
          <w:rFonts w:ascii="Aptos" w:hAnsi="Aptos" w:eastAsia="Aptos" w:cs="Aptos"/>
          <w:lang w:val="en-US"/>
        </w:rPr>
        <w:t xml:space="preserve"> es. En demasiados casos, la explotación comercial y el comercio de vida silvestre solo proporcionan beneficios económicos marginales y socavan los derechos, los medios de vida, el bienestar y los valores socioculturales de los pueblos indígenas. </w:t>
      </w:r>
    </w:p>
    <w:p w:rsidR="00682E50" w:rsidP="00682E50" w:rsidRDefault="00682E50" w14:paraId="5F067611" w14:textId="77777777">
      <w:pPr>
        <w:spacing w:line="240" w:lineRule="auto"/>
        <w:rPr>
          <w:rFonts w:ascii="Aptos" w:hAnsi="Aptos" w:eastAsia="Aptos" w:cs="Aptos"/>
          <w:lang w:val="en-US"/>
        </w:rPr>
      </w:pPr>
    </w:p>
    <w:p w:rsidRPr="00682E50" w:rsidR="00682E50" w:rsidP="00682E50" w:rsidRDefault="00682E50" w14:paraId="44D582A6" w14:textId="12EE6788">
      <w:pPr>
        <w:spacing w:line="240" w:lineRule="auto"/>
        <w:rPr>
          <w:rFonts w:ascii="Aptos" w:hAnsi="Aptos" w:eastAsia="Aptos" w:cs="Aptos"/>
          <w:lang w:val="en-US"/>
        </w:rPr>
      </w:pPr>
      <w:r w:rsidRPr="00682E50">
        <w:rPr>
          <w:rFonts w:ascii="Aptos" w:hAnsi="Aptos" w:eastAsia="Aptos" w:cs="Aptos"/>
          <w:lang w:val="en-US"/>
        </w:rPr>
        <w:t xml:space="preserve">Recalcamos que algunos dan por sentado que los medios de vida de los pueblos indígenas y las comunidades locales siempre se verán afectados negativamente por las restricciones de la CITES en el mercado, sin considerar el riesgo de socavar cosmovisiones alternativas al centrarse exclusivamente en los mercados.  Muchas organizaciones de pueblos indígenas, por ejemplo, han expresado su preocupación en otros foros de que promover un enfoque basado en el mercado socava los esfuerzos por resistirse a dicho enfoque y por proteger su integridad cultural y sus economías tradicionales. De hecho, tal vez la CITES también debería debatir cómo el comercio de vida silvestre y un enfoque basado en el mercado, así como la explotación de ciertas especies con fines de lucro, pueden socavar la integridad cultural y las tradiciones de los pueblos indígenas. </w:t>
      </w:r>
    </w:p>
    <w:p w:rsidR="00682E50" w:rsidP="00682E50" w:rsidRDefault="00682E50" w14:paraId="23EE9FA5" w14:textId="77777777">
      <w:pPr>
        <w:spacing w:line="240" w:lineRule="auto"/>
        <w:rPr>
          <w:rFonts w:ascii="Aptos" w:hAnsi="Aptos" w:eastAsia="Aptos" w:cs="Aptos"/>
          <w:lang w:val="en-US"/>
        </w:rPr>
      </w:pPr>
    </w:p>
    <w:p w:rsidRPr="00682E50" w:rsidR="00682E50" w:rsidP="00682E50" w:rsidRDefault="00682E50" w14:paraId="4E01E48F" w14:textId="15EC43B8">
      <w:pPr>
        <w:spacing w:line="240" w:lineRule="auto"/>
        <w:rPr>
          <w:rFonts w:ascii="Aptos" w:hAnsi="Aptos" w:eastAsia="Aptos" w:cs="Aptos"/>
          <w:lang w:val="en-US"/>
        </w:rPr>
      </w:pPr>
      <w:r w:rsidRPr="00682E50">
        <w:rPr>
          <w:rFonts w:ascii="Aptos" w:hAnsi="Aptos" w:eastAsia="Aptos" w:cs="Aptos"/>
          <w:lang w:val="en-US"/>
        </w:rPr>
        <w:t xml:space="preserve">Apoyamos la participación de las organizaciones de pueblos indígenas en las reuniones de la CITES en calidad de observadores. También apoyamos la creación de un fondo independiente para facilitar su participación en las reuniones, siempre y cuando sea adicional al Fondo de Viajes de los Delegados y no perjudique la asistencia de las autoridades de la CITES de ningún país en desarrollo a las reuniones de la CITES. No apoyamos un código de color especial ni una calcomanía que identifique a una persona como representante de una organización de pueblos indígenas o de una comunidad local; nos preocupa que pueda resultar contraproducente. Algunas ONG e OIG, por ejemplo (incluida la WCS), cuentan en sus delegaciones con personas que se identifican a sí mismas como indígenas, pero que tal vez no deseen esa etiqueta. </w:t>
      </w:r>
    </w:p>
    <w:p w:rsidR="00682E50" w:rsidP="00682E50" w:rsidRDefault="00682E50" w14:paraId="0B086EDF" w14:textId="77777777">
      <w:pPr>
        <w:spacing w:line="240" w:lineRule="auto"/>
        <w:rPr>
          <w:rFonts w:ascii="Aptos" w:hAnsi="Aptos" w:eastAsia="Aptos" w:cs="Aptos"/>
          <w:lang w:val="en-US"/>
        </w:rPr>
      </w:pPr>
    </w:p>
    <w:p w:rsidRPr="00682E50" w:rsidR="00682E50" w:rsidP="00682E50" w:rsidRDefault="00682E50" w14:paraId="39AA1C04" w14:textId="146F4074">
      <w:pPr>
        <w:spacing w:line="240" w:lineRule="auto"/>
        <w:rPr>
          <w:rFonts w:ascii="Aptos" w:hAnsi="Aptos" w:eastAsia="Aptos" w:cs="Aptos"/>
          <w:lang w:val="en-US"/>
        </w:rPr>
      </w:pPr>
      <w:r w:rsidRPr="00682E50">
        <w:rPr>
          <w:rFonts w:ascii="Aptos" w:hAnsi="Aptos" w:eastAsia="Aptos" w:cs="Aptos"/>
          <w:lang w:val="en-US"/>
        </w:rPr>
        <w:t xml:space="preserve">WCS recomienda encarecidamente que la «Guía para consultar a los pueblos indígenas y las comunidades locales sobre propuestas de enmienda a los Apéndices» siga siendo claramente opcional y no vinculante. Está publicada en el sitio web de la CITES, y las Partes pueden descargarla fácilmente. No recomendamos incorporar estas orientaciones a una resolución de la CoP, lo que las haría parecer más obligatorias. Las orientaciones contienen elementos útiles, cuya utilidad varía según las circunstancias nacionales; su inclusión en una resolución podría dar lugar a que se las considere o utilicen como un obstáculo para la preparación o presentación de propuestas de enmienda a los Apéndices de la CITES. Estamos de acuerdo con las Partes que han señalado repetidamente que la participación de los pueblos indígenas y las comunidades locales debe abordarse a nivel nacional y que corresponde a cada Parte decidir cómo involucrar a las comunidades y otras partes interesadas, con base en las leyes, políticas, historia y circunstancias nacionales. Algunos países no cuentan con pueblos indígenas ni los reconocen, mientras que otros tienen requisitos legales estrictos y obligaciones derivadas de tratados. La Secretaría u otras Partes no deben intervenir en estas acciones a nivel nacional. </w:t>
      </w:r>
    </w:p>
    <w:p w:rsidR="00682E50" w:rsidP="00682E50" w:rsidRDefault="00682E50" w14:paraId="4828D115" w14:textId="77777777">
      <w:pPr>
        <w:spacing w:line="240" w:lineRule="auto"/>
        <w:rPr>
          <w:rFonts w:ascii="Aptos" w:hAnsi="Aptos" w:eastAsia="Aptos" w:cs="Aptos"/>
          <w:lang w:val="en-US"/>
        </w:rPr>
      </w:pPr>
    </w:p>
    <w:p w:rsidR="00682E50" w:rsidP="00682E50" w:rsidRDefault="00682E50" w14:paraId="4E0185AB" w14:textId="50F553BF">
      <w:pPr>
        <w:spacing w:line="240" w:lineRule="auto"/>
        <w:rPr>
          <w:rFonts w:ascii="Aptos" w:hAnsi="Aptos" w:eastAsia="Aptos" w:cs="Aptos"/>
          <w:lang w:val="en-US"/>
        </w:rPr>
      </w:pPr>
      <w:r w:rsidRPr="00682E50">
        <w:rPr>
          <w:rFonts w:ascii="Aptos" w:hAnsi="Aptos" w:eastAsia="Aptos" w:cs="Aptos"/>
          <w:lang w:val="en-US"/>
        </w:rPr>
        <w:t xml:space="preserve">En cuanto a las recomendaciones del documento (párrafo 19): </w:t>
      </w:r>
    </w:p>
    <w:p w:rsidRPr="00682E50" w:rsidR="00682E50" w:rsidP="00682E50" w:rsidRDefault="00682E50" w14:paraId="2C5EC64F" w14:textId="77777777">
      <w:pPr>
        <w:spacing w:line="240" w:lineRule="auto"/>
        <w:rPr>
          <w:rFonts w:ascii="Aptos" w:hAnsi="Aptos" w:eastAsia="Aptos" w:cs="Aptos"/>
          <w:lang w:val="en-US"/>
        </w:rPr>
      </w:pPr>
    </w:p>
    <w:p w:rsidRPr="00682E50" w:rsidR="00682E50" w:rsidP="00682E50" w:rsidRDefault="00682E50" w14:paraId="2B71BE26" w14:textId="77777777">
      <w:pPr>
        <w:pStyle w:val="ListParagraph"/>
        <w:numPr>
          <w:ilvl w:val="0"/>
          <w:numId w:val="8"/>
        </w:numPr>
        <w:tabs>
          <w:tab w:val="left" w:pos="0"/>
          <w:tab w:val="left" w:pos="720"/>
        </w:tabs>
        <w:spacing w:line="240" w:lineRule="auto"/>
        <w:rPr>
          <w:rFonts w:ascii="Aptos" w:hAnsi="Aptos" w:eastAsia="Aptos" w:cs="Aptos"/>
        </w:rPr>
      </w:pPr>
      <w:r w:rsidRPr="00682E50">
        <w:rPr>
          <w:rFonts w:ascii="Aptos" w:hAnsi="Aptos" w:eastAsia="Aptos" w:cs="Aptos"/>
        </w:rPr>
        <w:t xml:space="preserve">Consideramos que los subpárrafos a) y b) son aceptables. </w:t>
      </w:r>
    </w:p>
    <w:p w:rsidRPr="00682E50" w:rsidR="00682E50" w:rsidP="00682E50" w:rsidRDefault="00682E50" w14:paraId="45988727" w14:textId="77777777">
      <w:pPr>
        <w:pStyle w:val="ListParagraph"/>
        <w:numPr>
          <w:ilvl w:val="0"/>
          <w:numId w:val="8"/>
        </w:numPr>
        <w:tabs>
          <w:tab w:val="left" w:pos="0"/>
          <w:tab w:val="left" w:pos="720"/>
        </w:tabs>
        <w:spacing w:line="240" w:lineRule="auto"/>
        <w:rPr>
          <w:rFonts w:ascii="Aptos" w:hAnsi="Aptos" w:eastAsia="Aptos" w:cs="Aptos"/>
          <w:lang w:val="en-US"/>
        </w:rPr>
      </w:pPr>
      <w:r w:rsidRPr="00682E50">
        <w:rPr>
          <w:rFonts w:ascii="Aptos" w:hAnsi="Aptos" w:eastAsia="Aptos" w:cs="Aptos"/>
        </w:rPr>
        <w:t xml:space="preserve">Recomendamos modificar el subpárrafo c) para que diga: </w:t>
      </w:r>
      <w:r w:rsidRPr="00682E50">
        <w:rPr>
          <w:rFonts w:ascii="Aptos" w:hAnsi="Aptos" w:eastAsia="Aptos" w:cs="Aptos"/>
          <w:lang w:val="en-US"/>
        </w:rPr>
        <w:t xml:space="preserve">«solicitar al Presidente que, si es apropiado </w:t>
      </w:r>
      <w:r w:rsidRPr="00682E50">
        <w:rPr>
          <w:rFonts w:ascii="Aptos" w:hAnsi="Aptos" w:eastAsia="Aptos" w:cs="Aptos"/>
          <w:u w:val="single"/>
          <w:lang w:val="en-US"/>
        </w:rPr>
        <w:t xml:space="preserve">y está justificado</w:t>
      </w:r>
      <w:r w:rsidRPr="00682E50">
        <w:rPr>
          <w:rFonts w:ascii="Aptos" w:hAnsi="Aptos" w:eastAsia="Aptos" w:cs="Aptos"/>
          <w:lang w:val="en-US"/>
        </w:rPr>
        <w:t xml:space="preserve">, proponga revisiones a la Guía para su consideración en la 21.ª reunión de la Conferencia de las Partes»; </w:t>
      </w:r>
    </w:p>
    <w:p w:rsidRPr="00682E50" w:rsidR="00682E50" w:rsidP="00682E50" w:rsidRDefault="00682E50" w14:paraId="0785CAB9" w14:textId="77777777">
      <w:pPr>
        <w:pStyle w:val="ListParagraph"/>
        <w:numPr>
          <w:ilvl w:val="0"/>
          <w:numId w:val="7"/>
        </w:numPr>
        <w:tabs>
          <w:tab w:val="left" w:pos="0"/>
          <w:tab w:val="left" w:pos="720"/>
        </w:tabs>
        <w:spacing w:line="240" w:lineRule="auto"/>
        <w:rPr>
          <w:rFonts w:ascii="Aptos" w:hAnsi="Aptos" w:eastAsia="Aptos" w:cs="Aptos"/>
          <w:lang w:val="en-US"/>
        </w:rPr>
      </w:pPr>
      <w:r w:rsidRPr="00682E50">
        <w:rPr>
          <w:rFonts w:ascii="Aptos" w:hAnsi="Aptos" w:eastAsia="Aptos" w:cs="Aptos"/>
        </w:rPr>
        <w:t xml:space="preserve">Subpárrafo d): Consideramos prematuro que el Comité de Secretaría apruebe las enmiendas propuestas a la Resolución </w:t>
      </w:r>
      <w:r w:rsidRPr="00682E50">
        <w:rPr>
          <w:rFonts w:ascii="Aptos" w:hAnsi="Aptos" w:eastAsia="Aptos" w:cs="Aptos"/>
          <w:lang w:val="en-US"/>
        </w:rPr>
        <w:t xml:space="preserve">de la Conferencia 16.6 (Rev. CoP18) sobre medios de vida. A excepción de la referencia a la Meta 5 del Marco Global de Biodiversidad (GBF) en el texto del preámbulo, que nos parece adecuada, no vemos la necesidad de las enmiendas propuestas. Recomendamos dar tiempo a las Partes para que utilicen las orientaciones no vinculantes. Algunas de las enmiendas propuestas son además algo prescriptivas; preferimos confiar en que las Partes </w:t>
      </w:r>
      <w:r w:rsidRPr="00682E50">
        <w:rPr>
          <w:rFonts w:ascii="Aptos" w:hAnsi="Aptos" w:eastAsia="Aptos" w:cs="Aptos"/>
          <w:lang w:val="en-US"/>
        </w:rPr>
        <w:t xml:space="preserve">consulten de manera e</w:t>
      </w:r>
      <w:r w:rsidRPr="00682E50">
        <w:rPr>
          <w:rFonts w:ascii="Aptos" w:hAnsi="Aptos" w:eastAsia="Aptos" w:cs="Aptos"/>
          <w:lang w:val="en-US"/>
        </w:rPr>
        <w:lastRenderedPageBreak/>
      </w:r>
      <w:r w:rsidRPr="00682E50">
        <w:rPr>
          <w:rFonts w:ascii="Aptos" w:hAnsi="Aptos" w:eastAsia="Aptos" w:cs="Aptos"/>
          <w:lang w:val="en-US"/>
        </w:rPr>
        <w:t xml:space="preserve"> e a los pueblos indígenas y las comunidades locales de su país, con base en su legislación y circunstancias nacionales. </w:t>
      </w:r>
    </w:p>
    <w:p w:rsidRPr="00682E50" w:rsidR="00682E50" w:rsidP="00682E50" w:rsidRDefault="00682E50" w14:paraId="32BECFBC"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Subpárrafo e): A la luz de las actuales limitaciones financieras y de capacidad de la Secretaría, no vemos el sentido de pedirle que diseñe e implemente un sistema de este tipo para codificar las credenciales en las próximas reuniones de los comités permanentes de la CITES y de la </w:t>
      </w:r>
      <w:r w:rsidRPr="00682E50">
        <w:rPr>
          <w:rFonts w:ascii="Aptos" w:hAnsi="Aptos" w:eastAsia="Aptos" w:cs="Aptos"/>
          <w:lang w:val="en-US"/>
        </w:rPr>
        <w:t xml:space="preserve">CoP.</w:t>
      </w:r>
    </w:p>
    <w:p w:rsidRPr="00682E50" w:rsidR="00682E50" w:rsidP="00682E50" w:rsidRDefault="00682E50" w14:paraId="5D341F6F"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Subpárrafo f): En cuanto a la terminología, WCS sigue prefiriendo el término «pueblos indígenas y comunidades locales», y no el término «comunidades rurales», ya que el primero es ampliamente aceptado en los foros multilaterales. Dado que el CDB aún no ha concluido su revisión del glosario voluntario de términos clave relacionados con este tema, creemos que es prudente que la CITES espere al glosario del CDB (tomando en cuenta que todas las Partes de la CITES, excepto una, son Partes del CDB).</w:t>
      </w:r>
    </w:p>
    <w:p w:rsidR="00682E50" w:rsidP="00682E50" w:rsidRDefault="00682E50" w14:paraId="33A6D1BF" w14:textId="77777777">
      <w:pPr>
        <w:spacing w:line="240" w:lineRule="auto"/>
        <w:rPr>
          <w:rFonts w:ascii="Aptos" w:hAnsi="Aptos"/>
          <w:lang w:val="en-SG"/>
        </w:rPr>
      </w:pPr>
    </w:p>
    <w:p w:rsidRPr="00682E50" w:rsidR="00682E50" w:rsidP="00682E50" w:rsidRDefault="00682E50" w14:paraId="40AD9874" w14:textId="77777777">
      <w:pPr>
        <w:spacing w:line="240" w:lineRule="auto"/>
        <w:rPr>
          <w:rFonts w:ascii="Aptos" w:hAnsi="Aptos"/>
          <w:lang w:val="en-SG"/>
        </w:rPr>
      </w:pPr>
    </w:p>
    <w:p w:rsidRPr="00682E50" w:rsidR="00682E50" w:rsidP="00682E50" w:rsidRDefault="00682E50" w14:paraId="21C95FDC" w14:textId="510E37A7">
      <w:pPr>
        <w:pStyle w:val="Heading1"/>
        <w:rPr>
          <w:rFonts w:ascii="Aptos" w:hAnsi="Aptos"/>
          <w:color w:val="D9D9D9" w:themeColor="background1" w:themeShade="D9"/>
          <w:sz w:val="22"/>
          <w:szCs w:val="22"/>
          <w:lang w:val="en-SG"/>
        </w:rPr>
      </w:pPr>
      <w:bookmarkStart w:name="_29:_Demand_reduction" w:id="26"/>
      <w:bookmarkStart w:name="_Demand_reduction_to" w:id="27"/>
      <w:bookmarkStart w:name="_Toc242563992" w:id="28"/>
      <w:bookmarkEnd w:id="26"/>
      <w:r>
        <w:rPr>
          <w:rFonts w:ascii="Aptos" w:hAnsi="Aptos"/>
          <w:sz w:val="22"/>
          <w:szCs w:val="22"/>
        </w:rPr>
        <w:t xml:space="preserve">29: </w:t>
      </w:r>
      <w:hyperlink w:history="1" r:id="rId30">
        <w:r w:rsidRPr="00682E50">
          <w:rPr>
            <w:rStyle w:val="Hyperlink"/>
            <w:rFonts w:ascii="Aptos" w:hAnsi="Aptos"/>
            <w:sz w:val="22"/>
            <w:szCs w:val="22"/>
            <w:lang w:val="en-SG"/>
          </w:rPr>
          <w:t xml:space="preserve">Reducción de la demanda para combatir el comercio ilegal (Decisión 20.39)</w:t>
        </w:r>
        <w:bookmarkEnd w:id="27"/>
        <w:bookmarkEnd w:id="28"/>
      </w:hyperlink>
    </w:p>
    <w:p w:rsidR="00682E50" w:rsidP="00682E50" w:rsidRDefault="00682E50" w14:paraId="4AAAFEE8" w14:textId="77777777">
      <w:pPr>
        <w:pStyle w:val="SC81Normal"/>
        <w:spacing w:after="0"/>
      </w:pPr>
    </w:p>
    <w:p w:rsidR="00682E50" w:rsidP="00682E50" w:rsidRDefault="00682E50" w14:paraId="456F3BBC" w14:textId="5EBE6EBC">
      <w:pPr>
        <w:pStyle w:val="SC81Normal"/>
        <w:spacing w:after="0"/>
      </w:pPr>
      <w:r w:rsidRPr="00682E50">
        <w:t xml:space="preserve">WCS apoya las recomendaciones presentadas en este documento con respecto a la reducción de la demanda. Es decepcionante observar el bajo nivel de respuesta a la Notificación sobre este tema y, en particular, las respuestas limitadas de las Partes que se ha señalado que cuentan con mercados significativos de productos ilegales derivados de vida silvestre. Estamos de acuerdo con la necesidad de agregar estudios de caso adicionales a la </w:t>
      </w:r>
      <w:r w:rsidRPr="00682E50">
        <w:rPr>
          <w:i/>
          <w:iCs/>
        </w:rPr>
        <w:t xml:space="preserve">guía de la CITES sobre estrategias de reducción de la demanda para combatir el comercio ilegal de especies incluidas en la CITES </w:t>
      </w:r>
      <w:r w:rsidRPr="00682E50">
        <w:t xml:space="preserve">y, una vez más, señalamos que esta no es la única guía o herramienta disponible para influir en el comportamiento de los consumidores.</w:t>
      </w:r>
    </w:p>
    <w:p w:rsidRPr="00682E50" w:rsidR="00682E50" w:rsidP="00682E50" w:rsidRDefault="00682E50" w14:paraId="347D5D00" w14:textId="77777777">
      <w:pPr>
        <w:pStyle w:val="SC81Normal"/>
        <w:spacing w:after="0"/>
      </w:pPr>
    </w:p>
    <w:p w:rsidR="00682E50" w:rsidP="00682E50" w:rsidRDefault="00682E50" w14:paraId="575379B5" w14:textId="77777777">
      <w:pPr>
        <w:pStyle w:val="SC81Normal"/>
        <w:spacing w:after="0"/>
      </w:pPr>
      <w:r w:rsidRPr="00682E50">
        <w:t xml:space="preserve">Los enfoques de cambio de comportamiento basados en la evidencia, fuera del documento de orientación, suelen pasarse por alto o estar subrepresentados en los documentos de la CITES. Por ello, apoyamos la sugerencia de que la Secretaría desarrolle una página en el sitio web de la CITES dedicada a los enfoques de cambio de comportamiento, que sirva de plataforma para compartir otros enfoques y herramientas disponibles que las Partes puedan utilizar —y de hecho utilizan— para influir en el comportamiento de los consumidores. </w:t>
      </w:r>
    </w:p>
    <w:p w:rsidRPr="00682E50" w:rsidR="00682E50" w:rsidP="00682E50" w:rsidRDefault="00682E50" w14:paraId="6F84A94E" w14:textId="77777777">
      <w:pPr>
        <w:pStyle w:val="SC81Normal"/>
        <w:spacing w:after="0"/>
      </w:pPr>
    </w:p>
    <w:p w:rsidRPr="00682E50" w:rsidR="00682E50" w:rsidP="00682E50" w:rsidRDefault="00682E50" w14:paraId="3870E980" w14:textId="77777777">
      <w:pPr>
        <w:pStyle w:val="SC81Normal"/>
        <w:spacing w:after="0"/>
        <w:rPr>
          <w:color w:val="D9D9D9" w:themeColor="background1" w:themeShade="D9"/>
        </w:rPr>
      </w:pPr>
      <w:r w:rsidRPr="00682E50">
        <w:t xml:space="preserve">WCS es miembro de la Alianza para la Reducción de la Demanda del proyecto GUARD de la UE y está trabajando en estrecha colaboración con las Partes y otros socios en el marco de este proyecto, incluidos los miembros de la ICCWC, para implementar iniciativas de cambio de comportamiento basadas en la evidencia, y con gusto compartirá las experiencias de este trabajo una vez que estén disponibles. </w:t>
      </w:r>
    </w:p>
    <w:p w:rsidR="00682E50" w:rsidP="00682E50" w:rsidRDefault="00682E50" w14:paraId="5EBA97AF" w14:textId="77777777">
      <w:pPr>
        <w:spacing w:line="240" w:lineRule="auto"/>
        <w:rPr>
          <w:rFonts w:ascii="Aptos" w:hAnsi="Aptos" w:eastAsia="Aptos" w:cs="Aptos"/>
        </w:rPr>
      </w:pPr>
    </w:p>
    <w:p w:rsidRPr="00682E50" w:rsidR="00682E50" w:rsidP="00682E50" w:rsidRDefault="00682E50" w14:paraId="17BCEED3" w14:textId="77777777">
      <w:pPr>
        <w:spacing w:line="240" w:lineRule="auto"/>
        <w:rPr>
          <w:rFonts w:ascii="Aptos" w:hAnsi="Aptos" w:eastAsia="Aptos" w:cs="Aptos"/>
        </w:rPr>
      </w:pPr>
    </w:p>
    <w:p w:rsidRPr="00682E50" w:rsidR="00682E50" w:rsidP="00682E50" w:rsidRDefault="00682E50" w14:paraId="3759F9A7" w14:textId="248089C9">
      <w:pPr>
        <w:pStyle w:val="Heading1"/>
        <w:rPr>
          <w:rFonts w:ascii="Aptos" w:hAnsi="Aptos"/>
          <w:sz w:val="22"/>
          <w:szCs w:val="22"/>
        </w:rPr>
      </w:pPr>
      <w:bookmarkStart w:name="_30:_National_laws" w:id="29"/>
      <w:bookmarkStart w:name="_National_laws_for" w:id="30"/>
      <w:bookmarkStart w:name="_Toc242563993" w:id="31"/>
      <w:bookmarkEnd w:id="29"/>
      <w:r>
        <w:rPr>
          <w:rFonts w:ascii="Aptos" w:hAnsi="Aptos"/>
          <w:sz w:val="22"/>
          <w:szCs w:val="22"/>
        </w:rPr>
        <w:t xml:space="preserve">30: </w:t>
      </w:r>
      <w:hyperlink r:id="rId31">
        <w:r w:rsidRPr="00682E50">
          <w:rPr>
            <w:rStyle w:val="Hyperlink"/>
            <w:rFonts w:ascii="Aptos" w:hAnsi="Aptos"/>
            <w:sz w:val="22"/>
            <w:szCs w:val="22"/>
          </w:rPr>
          <w:t xml:space="preserve">Leyes nacionales para la aplicación de la Convención (Decisiones 20.42 a 20.44)</w:t>
        </w:r>
        <w:bookmarkEnd w:id="30"/>
        <w:bookmarkEnd w:id="31"/>
      </w:hyperlink>
      <w:r w:rsidRPr="00682E50">
        <w:rPr>
          <w:rFonts w:ascii="Aptos" w:hAnsi="Aptos"/>
          <w:sz w:val="22"/>
          <w:szCs w:val="22"/>
        </w:rPr>
        <w:t xml:space="preserve"> </w:t>
      </w:r>
    </w:p>
    <w:p w:rsidR="00682E50" w:rsidP="00682E50" w:rsidRDefault="00682E50" w14:paraId="7DD74744" w14:textId="77777777">
      <w:pPr>
        <w:spacing w:line="240" w:lineRule="auto"/>
        <w:rPr>
          <w:rFonts w:ascii="Aptos" w:hAnsi="Aptos" w:eastAsia="Aptos" w:cs="Aptos"/>
          <w:lang w:val="en-US"/>
        </w:rPr>
      </w:pPr>
    </w:p>
    <w:p w:rsidRPr="00682E50" w:rsidR="00682E50" w:rsidP="00682E50" w:rsidRDefault="00682E50" w14:paraId="11CB56C9" w14:textId="4865A0D1">
      <w:pPr>
        <w:spacing w:line="240" w:lineRule="auto"/>
        <w:rPr>
          <w:rFonts w:ascii="Aptos" w:hAnsi="Aptos"/>
        </w:rPr>
      </w:pPr>
      <w:r w:rsidRPr="00682E50">
        <w:rPr>
          <w:rFonts w:ascii="Aptos" w:hAnsi="Aptos" w:eastAsia="Aptos" w:cs="Aptos"/>
          <w:lang w:val="en-US"/>
        </w:rPr>
        <w:t xml:space="preserve">WCS trabaja en estrecha colaboración con las Partes de la CITES para brindar apoyo técnico durante la actualización de la legislación o los reglamentos nacionales destinados a aplicar la CITES. Cuando la Secretaría y el Comité de Conservación (SC) solicitan información adicional o actualizaciones, nos hemos esforzado por reiterar esta solicitud y brindar apoyo siempre que sea posible.  </w:t>
      </w:r>
    </w:p>
    <w:p w:rsidR="00682E50" w:rsidP="00682E50" w:rsidRDefault="00682E50" w14:paraId="40CD0BB3" w14:textId="77777777">
      <w:pPr>
        <w:spacing w:line="240" w:lineRule="auto"/>
        <w:rPr>
          <w:rFonts w:ascii="Aptos" w:hAnsi="Aptos" w:eastAsia="Aptos" w:cs="Aptos"/>
        </w:rPr>
      </w:pPr>
    </w:p>
    <w:p w:rsidRPr="00682E50" w:rsidR="00682E50" w:rsidP="00682E50" w:rsidRDefault="00682E50" w14:paraId="175FA51F" w14:textId="77777777">
      <w:pPr>
        <w:spacing w:line="240" w:lineRule="auto"/>
        <w:rPr>
          <w:rFonts w:ascii="Aptos" w:hAnsi="Aptos" w:eastAsia="Aptos" w:cs="Aptos"/>
        </w:rPr>
      </w:pPr>
    </w:p>
    <w:p w:rsidR="00682E50" w:rsidP="00682E50" w:rsidRDefault="00682E50" w14:paraId="1546B217" w14:textId="0EC33C82">
      <w:pPr>
        <w:pStyle w:val="Heading1"/>
        <w:rPr>
          <w:rFonts w:ascii="Aptos" w:hAnsi="Aptos"/>
          <w:sz w:val="22"/>
          <w:szCs w:val="22"/>
        </w:rPr>
      </w:pPr>
      <w:bookmarkStart w:name="_32:_Compliance_matters" w:id="32"/>
      <w:bookmarkStart w:name="_Compliance_matters_" w:id="33"/>
      <w:bookmarkStart w:name="_Toc242563994" w:id="34"/>
      <w:bookmarkEnd w:id="32"/>
      <w:r>
        <w:rPr>
          <w:rFonts w:ascii="Aptos" w:hAnsi="Aptos"/>
          <w:sz w:val="22"/>
          <w:szCs w:val="22"/>
        </w:rPr>
        <w:t xml:space="preserve">32: </w:t>
      </w:r>
      <w:r w:rsidRPr="00682E50">
        <w:rPr>
          <w:rFonts w:ascii="Aptos" w:hAnsi="Aptos"/>
          <w:sz w:val="22"/>
          <w:szCs w:val="22"/>
        </w:rPr>
        <w:t xml:space="preserve">Asuntos de cumplimiento</w:t>
      </w:r>
      <w:bookmarkEnd w:id="33"/>
      <w:bookmarkEnd w:id="34"/>
      <w:r w:rsidRPr="00682E50">
        <w:rPr>
          <w:rFonts w:ascii="Aptos" w:hAnsi="Aptos"/>
          <w:sz w:val="22"/>
          <w:szCs w:val="22"/>
        </w:rPr>
        <w:t xml:space="preserve"> </w:t>
      </w:r>
    </w:p>
    <w:p w:rsidRPr="00682E50" w:rsidR="00682E50" w:rsidP="00682E50" w:rsidRDefault="00682E50" w14:paraId="29628B93" w14:textId="77777777"/>
    <w:p w:rsidRPr="00682E50" w:rsidR="00682E50" w:rsidP="00682E50" w:rsidRDefault="00682E50" w14:paraId="542ACA96" w14:textId="2A6580C9">
      <w:pPr>
        <w:pStyle w:val="Heading1"/>
        <w:rPr>
          <w:rFonts w:ascii="Aptos" w:hAnsi="Aptos"/>
          <w:sz w:val="22"/>
          <w:szCs w:val="22"/>
        </w:rPr>
      </w:pPr>
      <w:bookmarkStart w:name="_32.1:_Implementation_of" w:id="35"/>
      <w:bookmarkStart w:name="_Toc242563995" w:id="36"/>
      <w:bookmarkEnd w:id="35"/>
      <w:r>
        <w:rPr>
          <w:rFonts w:ascii="Aptos" w:hAnsi="Aptos"/>
          <w:sz w:val="22"/>
          <w:szCs w:val="22"/>
        </w:rPr>
        <w:t xml:space="preserve">32.1:</w:t>
      </w:r>
      <w:hyperlink r:id="rId32">
        <w:bookmarkStart w:name="___1._Implementation" w:id="37"/>
        <w:r w:rsidRPr="00682E50">
          <w:rPr>
            <w:rStyle w:val="Hyperlink"/>
            <w:rFonts w:ascii="Aptos" w:hAnsi="Aptos"/>
            <w:sz w:val="22"/>
            <w:szCs w:val="22"/>
          </w:rPr>
          <w:t xml:space="preserve"> Aplicación del artículo XIII y de la Resolución Conf. 14.3 (Rev. CoP19) sobre los procedimientos de cumplimiento de la CITES [Resolución Conf. 11.3 (Rev. CoP20), párrafo 23 c) – e)]</w:t>
        </w:r>
        <w:bookmarkEnd w:id="36"/>
        <w:bookmarkEnd w:id="37"/>
      </w:hyperlink>
      <w:r w:rsidRPr="00682E50">
        <w:rPr>
          <w:rFonts w:ascii="Aptos" w:hAnsi="Aptos"/>
          <w:sz w:val="22"/>
          <w:szCs w:val="22"/>
        </w:rPr>
        <w:t xml:space="preserve"> </w:t>
      </w:r>
    </w:p>
    <w:p w:rsidR="00682E50" w:rsidP="00682E50" w:rsidRDefault="00682E50" w14:paraId="1989EC54" w14:textId="77777777">
      <w:pPr>
        <w:spacing w:line="240" w:lineRule="auto"/>
        <w:rPr>
          <w:rFonts w:ascii="Aptos" w:hAnsi="Aptos" w:eastAsia="Aptos" w:cs="Aptos"/>
          <w:lang w:val="en-US"/>
        </w:rPr>
      </w:pPr>
    </w:p>
    <w:p w:rsidRPr="00682E50" w:rsidR="00682E50" w:rsidP="00682E50" w:rsidRDefault="00682E50" w14:paraId="08AAB91B" w14:textId="160DA3FB">
      <w:pPr>
        <w:spacing w:line="240" w:lineRule="auto"/>
        <w:rPr>
          <w:rFonts w:ascii="Aptos" w:hAnsi="Aptos"/>
        </w:rPr>
      </w:pPr>
      <w:r w:rsidRPr="5403C073">
        <w:rPr>
          <w:rFonts w:ascii="Aptos" w:hAnsi="Aptos" w:eastAsia="Aptos" w:cs="Aptos"/>
          <w:lang w:val="en-US"/>
        </w:rPr>
        <w:t xml:space="preserve">Agradecemos este documento y el análisis detallado que contiene. Agradecemos la apertura de las autoridades de los Emiratos Árabes Unidos ante la visita y las aportaciones de la Secretaría, así como todos los avances significativos</w:t>
      </w:r>
      <w:r w:rsidRPr="5403C073">
        <w:rPr>
          <w:rFonts w:ascii="Aptos" w:hAnsi="Aptos" w:eastAsia="Aptos" w:cs="Aptos"/>
          <w:lang w:val="en-US"/>
        </w:rPr>
        <w:lastRenderedPageBreak/>
      </w:r>
      <w:r w:rsidRPr="5403C073">
        <w:rPr>
          <w:rFonts w:ascii="Aptos" w:hAnsi="Aptos" w:eastAsia="Aptos" w:cs="Aptos"/>
          <w:lang w:val="en-US"/>
        </w:rPr>
        <w:t xml:space="preserve"> que han logrado. Esperamos con interés debatir estos temas con los miembros del Comité Permanente y otras Partes en la 81.ª reunión del Comité Permanente.</w:t>
      </w:r>
    </w:p>
    <w:p w:rsidRPr="00682E50" w:rsidR="00682E50" w:rsidP="00682E50" w:rsidRDefault="00682E50" w14:paraId="188C07C5" w14:textId="77777777">
      <w:pPr>
        <w:spacing w:line="240" w:lineRule="auto"/>
        <w:rPr>
          <w:rFonts w:ascii="Aptos" w:hAnsi="Aptos" w:eastAsia="Aptos" w:cs="Aptos"/>
        </w:rPr>
      </w:pPr>
    </w:p>
    <w:p w:rsidRPr="00682E50" w:rsidR="00682E50" w:rsidP="00682E50" w:rsidRDefault="00682E50" w14:paraId="4F12C491" w14:textId="0D067C7F">
      <w:pPr>
        <w:pStyle w:val="Heading1"/>
        <w:rPr>
          <w:rFonts w:ascii="Aptos" w:hAnsi="Aptos"/>
          <w:sz w:val="22"/>
          <w:szCs w:val="22"/>
        </w:rPr>
      </w:pPr>
      <w:bookmarkStart w:name="_32.2:_Scope_and" w:id="38"/>
      <w:bookmarkStart w:name="_Toc242563996" w:id="39"/>
      <w:bookmarkEnd w:id="38"/>
      <w:r>
        <w:rPr>
          <w:rFonts w:ascii="Aptos" w:hAnsi="Aptos"/>
          <w:sz w:val="22"/>
          <w:szCs w:val="22"/>
        </w:rPr>
        <w:t xml:space="preserve">32.2:</w:t>
      </w:r>
      <w:hyperlink r:id="rId33">
        <w:bookmarkStart w:name="___2._Scope" w:id="40"/>
        <w:r w:rsidRPr="00682E50">
          <w:rPr>
            <w:rStyle w:val="Hyperlink"/>
            <w:rFonts w:ascii="Aptos" w:hAnsi="Aptos"/>
            <w:sz w:val="22"/>
            <w:szCs w:val="22"/>
          </w:rPr>
          <w:t xml:space="preserve"> Alcance y aplicación de las recomendaciones para suspender el comercio (Decisión 20.46)</w:t>
        </w:r>
        <w:bookmarkEnd w:id="39"/>
        <w:bookmarkEnd w:id="40"/>
      </w:hyperlink>
      <w:r w:rsidRPr="00682E50">
        <w:rPr>
          <w:rFonts w:ascii="Aptos" w:hAnsi="Aptos"/>
          <w:sz w:val="22"/>
          <w:szCs w:val="22"/>
        </w:rPr>
        <w:t xml:space="preserve"> </w:t>
      </w:r>
    </w:p>
    <w:p w:rsidR="00682E50" w:rsidP="00682E50" w:rsidRDefault="00682E50" w14:paraId="11477E91" w14:textId="77777777">
      <w:pPr>
        <w:pStyle w:val="SC81Normal"/>
        <w:spacing w:after="0"/>
      </w:pPr>
    </w:p>
    <w:p w:rsidRPr="00682E50" w:rsidR="00682E50" w:rsidP="00682E50" w:rsidRDefault="00682E50" w14:paraId="1E0BCAC4" w14:textId="130A6814">
      <w:pPr>
        <w:pStyle w:val="SC81Normal"/>
        <w:spacing w:after="0"/>
      </w:pPr>
      <w:r w:rsidRPr="00682E50">
        <w:t xml:space="preserve">La WCS apoya la idea de que el Comité Permanente utilice una terminología estándar al elaborar recomendaciones para suspender el comercio y sea muy preciso en su formulación. La redacción estándar que figura en el anexo del documento 32.2 parece una buena base sobre la que proceder (comenzando al menos en la 82.ª reunión del Comité Permanente, si este tema resulta ser un debate complicado en la 81.ª reunión). </w:t>
      </w:r>
    </w:p>
    <w:p w:rsidR="00682E50" w:rsidP="00682E50" w:rsidRDefault="00682E50" w14:paraId="6E5B4A7A" w14:textId="77777777">
      <w:pPr>
        <w:pStyle w:val="SC81Normal"/>
        <w:spacing w:after="0"/>
      </w:pPr>
    </w:p>
    <w:p w:rsidR="00682E50" w:rsidP="00682E50" w:rsidRDefault="00682E50" w14:paraId="24805CB9" w14:textId="49A3A3AB">
      <w:pPr>
        <w:pStyle w:val="SC81Normal"/>
        <w:spacing w:after="0"/>
      </w:pPr>
      <w:r>
        <w:t xml:space="preserve">Es importante destacar que deben evitarse los períodos de transición generales, y que los períodos de transición para taxones específicos deben considerarse caso por caso, dependiendo de las especies incluidas en la CITES y del procedimiento de cumplimiento que se esté analizando. </w:t>
      </w:r>
    </w:p>
    <w:p w:rsidR="00682E50" w:rsidP="00682E50" w:rsidRDefault="00682E50" w14:paraId="4BB1DCD1" w14:textId="07CBE3C7">
      <w:pPr>
        <w:pStyle w:val="SC81Normal"/>
        <w:spacing w:after="0"/>
      </w:pPr>
    </w:p>
    <w:p w:rsidR="00682E50" w:rsidP="00682E50" w:rsidRDefault="00682E50" w14:paraId="456E7DBF" w14:textId="4F338C78">
      <w:pPr>
        <w:pStyle w:val="SC81Normal"/>
        <w:spacing w:after="0"/>
      </w:pPr>
      <w:r>
        <w:t xml:space="preserve">También nos preocupa que algunas de las «exenciones» sugeridas a las recomendaciones de suspender el comercio puedan crear vacíos legales, como las exenciones para «casos urgentes» que involucren animales vivos; por lo tanto, cualquier recomendación debe ser clara y precisa. </w:t>
      </w:r>
    </w:p>
    <w:p w:rsidRPr="00682E50" w:rsidR="00682E50" w:rsidP="00682E50" w:rsidRDefault="00682E50" w14:paraId="3D8010B5" w14:textId="77777777">
      <w:pPr>
        <w:pStyle w:val="SC81Normal"/>
        <w:spacing w:after="0"/>
        <w:rPr>
          <w:b/>
          <w:bCs/>
        </w:rPr>
      </w:pPr>
    </w:p>
    <w:p w:rsidRPr="00682E50" w:rsidR="00682E50" w:rsidP="00682E50" w:rsidRDefault="00682E50" w14:paraId="3ADAD93C" w14:textId="284FCD91">
      <w:pPr>
        <w:pStyle w:val="Heading1"/>
        <w:rPr>
          <w:rFonts w:ascii="Aptos" w:hAnsi="Aptos"/>
          <w:sz w:val="22"/>
          <w:szCs w:val="22"/>
        </w:rPr>
      </w:pPr>
      <w:bookmarkStart w:name="_32.3:_Addressing_compliance" w:id="41"/>
      <w:bookmarkStart w:name="_Toc242563997" w:id="42"/>
      <w:bookmarkEnd w:id="41"/>
      <w:r>
        <w:rPr>
          <w:rFonts w:ascii="Aptos" w:hAnsi="Aptos"/>
          <w:sz w:val="22"/>
          <w:szCs w:val="22"/>
        </w:rPr>
        <w:t xml:space="preserve">32.3:</w:t>
      </w:r>
      <w:hyperlink r:id="rId34">
        <w:bookmarkStart w:name="___3._Addressing" w:id="43"/>
        <w:r w:rsidRPr="00682E50">
          <w:rPr>
            <w:rStyle w:val="Hyperlink"/>
            <w:rFonts w:ascii="Aptos" w:hAnsi="Aptos"/>
            <w:sz w:val="22"/>
            <w:szCs w:val="22"/>
          </w:rPr>
          <w:t xml:space="preserve"> Tratamiento de asuntos de cumplimiento por parte del Comité Permanente (Decisión 20.47</w:t>
        </w:r>
      </w:hyperlink>
      <w:r w:rsidRPr="00682E50">
        <w:rPr>
          <w:rFonts w:ascii="Aptos" w:hAnsi="Aptos"/>
          <w:sz w:val="22"/>
          <w:szCs w:val="22"/>
        </w:rPr>
        <w:t xml:space="preserve">)</w:t>
      </w:r>
      <w:bookmarkEnd w:id="42"/>
      <w:bookmarkEnd w:id="43"/>
    </w:p>
    <w:p w:rsidRPr="00682E50" w:rsidR="00682E50" w:rsidP="00682E50" w:rsidRDefault="00682E50" w14:paraId="78CCAC42" w14:textId="750DCA44">
      <w:pPr>
        <w:pStyle w:val="Heading"/>
        <w:rPr>
          <w:b w:val="0"/>
          <w:bCs w:val="0"/>
          <w:i/>
          <w:iCs/>
          <w:highlight w:val="yellow"/>
        </w:rPr>
      </w:pPr>
    </w:p>
    <w:p w:rsidRPr="00682E50" w:rsidR="00682E50" w:rsidP="00682E50" w:rsidRDefault="5328F5DF" w14:paraId="2A1126F3" w14:textId="068A14BA">
      <w:pPr>
        <w:spacing w:line="240" w:lineRule="auto"/>
      </w:pPr>
      <w:r w:rsidRPr="164385D1">
        <w:rPr>
          <w:rFonts w:ascii="Aptos" w:hAnsi="Aptos" w:eastAsia="Aptos" w:cs="Aptos"/>
          <w:lang w:val="en-SG"/>
        </w:rPr>
        <w:t xml:space="preserve">La WCS acoge con satisfacción este debate y la atención que presta al fortalecimiento del proceso de cumplimiento, el cual es fundamental para la eficacia de la Convención y debe seguir siendo el eje central de la labor del Comité Permanente. El documento se centra acertadamente en los desafíos expuestos en los párrafos 11 a 16, principalmente la creciente carga de trabajo asociada a los asuntos de cumplimiento, el tiempo limitado disponible para debatir casos individuales y la necesidad de una mayor transparencia y coherencia. Las opciones que presenta están diseñadas para abordar estos desafíos.  </w:t>
      </w:r>
    </w:p>
    <w:p w:rsidRPr="00682E50" w:rsidR="00682E50" w:rsidP="164385D1" w:rsidRDefault="00682E50" w14:paraId="3CD45F49" w14:textId="2559C1CA">
      <w:pPr>
        <w:spacing w:line="240" w:lineRule="auto"/>
        <w:rPr>
          <w:rFonts w:ascii="Aptos" w:hAnsi="Aptos" w:eastAsia="Aptos" w:cs="Aptos"/>
          <w:lang w:val="en-SG"/>
        </w:rPr>
      </w:pPr>
    </w:p>
    <w:p w:rsidRPr="00682E50" w:rsidR="00682E50" w:rsidP="164385D1" w:rsidRDefault="5328F5DF" w14:paraId="3EECEF29" w14:textId="5AC29D8C">
      <w:pPr>
        <w:spacing w:line="240" w:lineRule="auto"/>
      </w:pPr>
      <w:r w:rsidRPr="164385D1">
        <w:rPr>
          <w:rFonts w:ascii="Aptos" w:hAnsi="Aptos" w:eastAsia="Aptos" w:cs="Aptos"/>
          <w:lang w:val="en-SG"/>
        </w:rPr>
        <w:t xml:space="preserve">Sin embargo, WCS considera que la descripción del problema omite una preocupación importante: el riesgo de que el proceso de cumplimiento premie el cumplimiento procedimental en lugar de los resultados reales. Una Parte puede parecer que cumple (al presentar sus informes, adoptar o comprometerse a adoptar legislación, y organizar talleres y capacitaciones) mientras que la aplicación de la ley en el terreno sigue siendo débil y continúa el comercio ilegal o insustentable. Estrechamente relacionada con esto está la cuestión de cómo se cierran los casos y se retiran las medidas. En la actualidad, un caso puede cerrarse y las medidas pueden levantarse basándose únicamente en el avance procesal, antes de que haya evidencia creíble de que los resultados hayan cambiado. WCS agradecería que se reconociera explícitamente este riesgo, ya que tiene una influencia directa en qué opciones deben priorizarse. Nuestros comentarios a continuación se basan en esta preocupación. </w:t>
      </w:r>
    </w:p>
    <w:p w:rsidRPr="00682E50" w:rsidR="00682E50" w:rsidP="164385D1" w:rsidRDefault="5328F5DF" w14:paraId="417EDA63" w14:textId="2CCE746B">
      <w:pPr>
        <w:spacing w:line="240" w:lineRule="auto"/>
        <w:rPr>
          <w:rFonts w:ascii="Aptos" w:hAnsi="Aptos" w:eastAsia="Aptos" w:cs="Aptos"/>
          <w:lang w:val="en-SG"/>
        </w:rPr>
      </w:pPr>
      <w:r w:rsidRPr="164385D1">
        <w:rPr>
          <w:rFonts w:ascii="Aptos" w:hAnsi="Aptos" w:eastAsia="Aptos" w:cs="Aptos"/>
          <w:lang w:val="en-SG"/>
        </w:rPr>
        <w:t xml:space="preserve"> </w:t>
      </w:r>
    </w:p>
    <w:p w:rsidRPr="00682E50" w:rsidR="00682E50" w:rsidP="164385D1" w:rsidRDefault="5328F5DF" w14:paraId="7B0DB04C" w14:textId="41209014">
      <w:pPr>
        <w:spacing w:line="240" w:lineRule="auto"/>
        <w:rPr>
          <w:rFonts w:ascii="Aptos" w:hAnsi="Aptos" w:eastAsia="Aptos" w:cs="Aptos"/>
          <w:b/>
          <w:bCs/>
          <w:lang w:val="en-SG"/>
        </w:rPr>
      </w:pPr>
      <w:r w:rsidRPr="164385D1">
        <w:rPr>
          <w:rFonts w:ascii="Aptos" w:hAnsi="Aptos" w:eastAsia="Aptos" w:cs="Aptos"/>
          <w:b/>
          <w:bCs/>
          <w:lang w:val="en-SG"/>
        </w:rPr>
        <w:t xml:space="preserve">Opciones institucionales  </w:t>
      </w:r>
    </w:p>
    <w:p w:rsidRPr="00682E50" w:rsidR="00682E50" w:rsidP="164385D1" w:rsidRDefault="00682E50" w14:paraId="4DA208E9" w14:textId="52FA900A">
      <w:pPr>
        <w:spacing w:line="240" w:lineRule="auto"/>
        <w:rPr>
          <w:rFonts w:ascii="Aptos" w:hAnsi="Aptos" w:eastAsia="Aptos" w:cs="Aptos"/>
          <w:lang w:val="en-SG"/>
        </w:rPr>
      </w:pPr>
    </w:p>
    <w:p w:rsidRPr="00682E50" w:rsidR="00682E50" w:rsidP="164385D1" w:rsidRDefault="5328F5DF" w14:paraId="61DB9609" w14:textId="10938AFF">
      <w:pPr>
        <w:spacing w:line="240" w:lineRule="auto"/>
      </w:pPr>
      <w:r w:rsidRPr="164385D1">
        <w:rPr>
          <w:rFonts w:ascii="Aptos" w:hAnsi="Aptos" w:eastAsia="Aptos" w:cs="Aptos"/>
          <w:lang w:val="en-SG"/>
        </w:rPr>
        <w:t xml:space="preserve">WCS alienta a las Partes a establecer un espacio específico, con tiempo suficiente, para el examen de los asuntos de cumplimiento. Como lo deja claro el párrafo 13, actualmente los casos complejos se examinan bajo una presión de tiempo considerable. Apoyamos especialmente la creación de un subcomité de cumplimiento del Comité de Supervisión (Opción B) o, alternativamente, un grupo de trabajo entre períodos de sesiones sobre cumplimiento (Opción C). Ambas opciones permitirían un examen más profundo y coherente de los casos, al tiempo que se mantendría la toma de decisiones finales en manos del Comité de Supervisión. Sin embargo, es esencial que se incluya a observadores en cualquier órgano que se establezca.  </w:t>
      </w:r>
    </w:p>
    <w:p w:rsidRPr="00682E50" w:rsidR="00682E50" w:rsidP="164385D1" w:rsidRDefault="00682E50" w14:paraId="31093D64" w14:textId="2E194CFD">
      <w:pPr>
        <w:spacing w:line="240" w:lineRule="auto"/>
        <w:rPr>
          <w:rFonts w:ascii="Aptos" w:hAnsi="Aptos" w:eastAsia="Aptos" w:cs="Aptos"/>
          <w:lang w:val="en-SG"/>
        </w:rPr>
      </w:pPr>
    </w:p>
    <w:p w:rsidRPr="00682E50" w:rsidR="00682E50" w:rsidP="164385D1" w:rsidRDefault="5328F5DF" w14:paraId="125F1EFA" w14:textId="0DA75E7F">
      <w:pPr>
        <w:spacing w:line="240" w:lineRule="auto"/>
        <w:rPr>
          <w:rFonts w:ascii="Aptos" w:hAnsi="Aptos" w:eastAsia="Aptos" w:cs="Aptos"/>
          <w:b/>
          <w:bCs/>
          <w:lang w:val="en-SG"/>
        </w:rPr>
      </w:pPr>
      <w:r w:rsidRPr="164385D1">
        <w:rPr>
          <w:rFonts w:ascii="Aptos" w:hAnsi="Aptos" w:eastAsia="Aptos" w:cs="Aptos"/>
          <w:b/>
          <w:bCs/>
          <w:lang w:val="en-SG"/>
        </w:rPr>
        <w:t xml:space="preserve">Opciones de procedimiento  </w:t>
      </w:r>
    </w:p>
    <w:p w:rsidRPr="00682E50" w:rsidR="00682E50" w:rsidP="164385D1" w:rsidRDefault="00682E50" w14:paraId="7AB999D9" w14:textId="03EEDC98">
      <w:pPr>
        <w:spacing w:line="240" w:lineRule="auto"/>
        <w:rPr>
          <w:rFonts w:ascii="Aptos" w:hAnsi="Aptos" w:eastAsia="Aptos" w:cs="Aptos"/>
          <w:lang w:val="en-SG"/>
        </w:rPr>
      </w:pPr>
    </w:p>
    <w:p w:rsidRPr="00682E50" w:rsidR="00682E50" w:rsidP="164385D1" w:rsidRDefault="5328F5DF" w14:paraId="51115E75" w14:textId="23F241AE">
      <w:pPr>
        <w:spacing w:line="240" w:lineRule="auto"/>
      </w:pPr>
      <w:r w:rsidRPr="164385D1">
        <w:rPr>
          <w:rFonts w:ascii="Aptos" w:hAnsi="Aptos" w:eastAsia="Aptos" w:cs="Aptos"/>
          <w:lang w:val="en-SG"/>
        </w:rPr>
        <w:t xml:space="preserve">WCS apoya firmemente el sistema de seguimiento de las recomendaciones del Comité de Cumplimiento (Opción E). Acogemos con especial satisfacción la propuesta de distinguir entre las acciones esenciales —aquellas necesarias para abordar preocupaciones importantes en materia de cumplimiento o evitar que la situación se agrave— y las medidas de carácter consultivo. Identificar claramente las acciones mínimas esenciales que se esperan de cada Parte ayudaría a cambiar el enfoque del proceso de cumplimiento, pasando de los resultados a los efectos. Para este fin, las acciones esenciales deberían, siempre que sea posible, incluir criterios de referencia basados en los efectos, como mejoras demostrables en la aplicación de la ley, en lugar de limitarse únicamente a la finalización de las actividades. WCS también apoya un proceso estandarizado para señalar asuntos de cumplimiento a la atención del Comité Permanente (Opción C), incluyendo la plantilla de remisión y el marco de indicadores que figuran en los párrafos 49 y 50.  </w:t>
      </w:r>
    </w:p>
    <w:p w:rsidRPr="00682E50" w:rsidR="00682E50" w:rsidP="164385D1" w:rsidRDefault="00682E50" w14:paraId="5F62BF93" w14:textId="0FAC3F2C">
      <w:pPr>
        <w:spacing w:line="240" w:lineRule="auto"/>
        <w:rPr>
          <w:rFonts w:ascii="Aptos" w:hAnsi="Aptos" w:eastAsia="Aptos" w:cs="Aptos"/>
          <w:lang w:val="en-SG"/>
        </w:rPr>
      </w:pPr>
    </w:p>
    <w:p w:rsidRPr="00682E50" w:rsidR="00682E50" w:rsidP="164385D1" w:rsidRDefault="5328F5DF" w14:paraId="5EF95B88" w14:textId="3F532A6C">
      <w:pPr>
        <w:spacing w:line="240" w:lineRule="auto"/>
        <w:rPr>
          <w:rFonts w:ascii="Aptos" w:hAnsi="Aptos" w:eastAsia="Aptos" w:cs="Aptos"/>
          <w:color w:val="B8CCE4" w:themeColor="accent1" w:themeTint="66"/>
          <w:lang w:val="en-SG"/>
        </w:rPr>
      </w:pPr>
      <w:r w:rsidRPr="164385D1">
        <w:rPr>
          <w:rFonts w:ascii="Aptos" w:hAnsi="Aptos" w:eastAsia="Aptos" w:cs="Aptos"/>
          <w:lang w:val="en-SG"/>
        </w:rPr>
        <w:t xml:space="preserve">Por último, instamos al Comité Permanente a oponerse a la discusión confidencial de posibles asuntos de cumplimiento (Opción A), ya que las sesiones a puerta cerrada sin observadores ni documentos van en contra de los objetivos de transparencia establecidos en el propio documento. Además, corren el riesgo de retrasar la consideración de asuntos urgentes de cumplimiento al agregar un paso preliminar antes de que un asunto pueda ser considerado formalmente. WCS también advierte a las Partes sobre las notas explicativas del Comité Permanente respecto a la justificación de las medidas (Opción D), ya que la preparación de dichas notas aumentaría precisamente las presiones de carga de trabajo que el documento busca aliviar. La justificación de las medidas podría, en cambio, plasmarse a través de la plantilla de remisión y el sistema de seguimiento. </w:t>
      </w:r>
    </w:p>
    <w:p w:rsidR="00682E50" w:rsidP="00682E50" w:rsidRDefault="00682E50" w14:paraId="075FE117" w14:textId="77777777">
      <w:pPr>
        <w:spacing w:line="240" w:lineRule="auto"/>
        <w:rPr>
          <w:rFonts w:ascii="Aptos" w:hAnsi="Aptos" w:eastAsia="Aptos" w:cs="Aptos"/>
          <w:lang w:val="en-US"/>
        </w:rPr>
      </w:pPr>
    </w:p>
    <w:p w:rsidR="00682E50" w:rsidP="00682E50" w:rsidRDefault="00682E50" w14:paraId="556142B7" w14:textId="77777777">
      <w:pPr>
        <w:spacing w:line="240" w:lineRule="auto"/>
        <w:rPr>
          <w:rFonts w:ascii="Aptos" w:hAnsi="Aptos" w:eastAsia="Aptos" w:cs="Aptos"/>
          <w:lang w:val="en-US"/>
        </w:rPr>
      </w:pPr>
    </w:p>
    <w:p w:rsidRPr="00682E50" w:rsidR="00682E50" w:rsidP="00682E50" w:rsidRDefault="00682E50" w14:paraId="0BAFF835" w14:textId="1B47C289">
      <w:pPr>
        <w:spacing w:line="240" w:lineRule="auto"/>
        <w:rPr>
          <w:rFonts w:ascii="Aptos" w:hAnsi="Aptos" w:eastAsia="Aptos" w:cs="Aptos"/>
          <w:b/>
          <w:bCs/>
          <w:lang w:val="en-US"/>
        </w:rPr>
      </w:pPr>
      <w:r w:rsidRPr="00682E50">
        <w:rPr>
          <w:rFonts w:ascii="Aptos" w:hAnsi="Aptos" w:eastAsia="Aptos" w:cs="Aptos"/>
          <w:b/>
          <w:bCs/>
          <w:lang w:val="en-US"/>
        </w:rPr>
        <w:t xml:space="preserve">33</w:t>
      </w:r>
      <w:r>
        <w:rPr>
          <w:rFonts w:ascii="Aptos" w:hAnsi="Aptos" w:eastAsia="Aptos" w:cs="Aptos"/>
          <w:b/>
          <w:bCs/>
          <w:lang w:val="en-US"/>
        </w:rPr>
        <w:t xml:space="preserve">: </w:t>
      </w:r>
      <w:r w:rsidRPr="00682E50">
        <w:rPr>
          <w:rFonts w:ascii="Aptos" w:hAnsi="Aptos" w:eastAsia="Aptos" w:cs="Aptos"/>
          <w:b/>
          <w:bCs/>
          <w:lang w:val="en-US"/>
        </w:rPr>
        <w:t xml:space="preserve">Aplicación del artículo XIII</w:t>
      </w:r>
    </w:p>
    <w:p w:rsidRPr="00682E50" w:rsidR="00682E50" w:rsidP="00682E50" w:rsidRDefault="00682E50" w14:paraId="2219B9E8" w14:textId="77777777">
      <w:pPr>
        <w:spacing w:line="240" w:lineRule="auto"/>
        <w:rPr>
          <w:rFonts w:ascii="Aptos" w:hAnsi="Aptos" w:eastAsia="Aptos" w:cs="Aptos"/>
          <w:lang w:val="en-US"/>
        </w:rPr>
      </w:pPr>
    </w:p>
    <w:p w:rsidRPr="00682E50" w:rsidR="00682E50" w:rsidP="00682E50" w:rsidRDefault="00682E50" w14:paraId="1F395E7A" w14:textId="09A4163E">
      <w:pPr>
        <w:pStyle w:val="Heading1"/>
        <w:rPr>
          <w:rFonts w:ascii="Aptos" w:hAnsi="Aptos"/>
          <w:sz w:val="22"/>
          <w:szCs w:val="22"/>
        </w:rPr>
      </w:pPr>
      <w:bookmarkStart w:name="_33.2:_Application_of" w:id="44"/>
      <w:bookmarkStart w:name="_Toc242563998" w:id="45"/>
      <w:bookmarkStart w:name="_33.2._Application_of" w:id="46"/>
      <w:bookmarkEnd w:id="44"/>
      <w:r>
        <w:rPr>
          <w:rFonts w:ascii="Aptos" w:hAnsi="Aptos"/>
          <w:sz w:val="22"/>
          <w:szCs w:val="22"/>
        </w:rPr>
        <w:t xml:space="preserve">33.2:</w:t>
      </w:r>
      <w:hyperlink w:history="1" r:id="rId35">
        <w:bookmarkStart w:name="___2._Application" w:id="47"/>
        <w:r w:rsidRPr="00682E50">
          <w:rPr>
            <w:rStyle w:val="Hyperlink"/>
            <w:rFonts w:ascii="Aptos" w:hAnsi="Aptos"/>
            <w:sz w:val="22"/>
            <w:szCs w:val="22"/>
          </w:rPr>
          <w:t xml:space="preserve"> Aplicación del artículo XIII en Bangladés</w:t>
        </w:r>
        <w:bookmarkEnd w:id="45"/>
        <w:bookmarkEnd w:id="47"/>
      </w:hyperlink>
      <w:bookmarkEnd w:id="46"/>
      <w:r w:rsidRPr="00682E50">
        <w:rPr>
          <w:rFonts w:ascii="Aptos" w:hAnsi="Aptos"/>
          <w:sz w:val="22"/>
          <w:szCs w:val="22"/>
        </w:rPr>
        <w:t xml:space="preserve"> </w:t>
      </w:r>
    </w:p>
    <w:p w:rsidR="00682E50" w:rsidP="00682E50" w:rsidRDefault="00682E50" w14:paraId="46DDE119" w14:textId="77777777">
      <w:pPr>
        <w:pStyle w:val="SC81Normal"/>
        <w:spacing w:after="0"/>
      </w:pPr>
    </w:p>
    <w:p w:rsidRPr="00682E50" w:rsidR="00682E50" w:rsidP="00682E50" w:rsidRDefault="00682E50" w14:paraId="76EA41A3" w14:textId="01FFA15B">
      <w:pPr>
        <w:pStyle w:val="SC81Normal"/>
        <w:spacing w:after="0"/>
      </w:pPr>
      <w:r w:rsidRPr="00682E50">
        <w:t xml:space="preserve">WCS reconoce los importantes avances logrados por la Autoridad Administrativa de la CITES de Bangladés desde la 79.ª reunión del Comité de Conservación (SC79) y en respuesta a los requisitos del artículo XIII. Tomando nota de varias de las acciones pendientes mencionadas en el informe, WCS apoya las recomendaciones de la Secretaría, incluido el mantenimiento de la suspensión del comercio de aves incluidas en la CITES hasta que se puedan demostrar nuevos avances.</w:t>
      </w:r>
    </w:p>
    <w:p w:rsidR="00682E50" w:rsidP="00682E50" w:rsidRDefault="00682E50" w14:paraId="13E509D2" w14:textId="77777777">
      <w:pPr>
        <w:pStyle w:val="SC81Normal"/>
        <w:spacing w:after="0"/>
      </w:pPr>
      <w:r w:rsidRPr="00682E50">
        <w:t xml:space="preserve">WCS acoge con satisfacción la nueva Ley de Vida Silvestre (Conservación y Seguridad) de 2026, que armoniza los anexos nacionales con los apéndices de la CITES, actualiza las listas de especies, faculta a la Guardia Fronteriza de Bangladés, a la Policía de Bangladés, a la Guardia Costera de Bangladés y a la Aduana de Bangladés para hacer cumplir esta ley, y aumenta las sanciones. La WCS respalda además el establecimiento de un plazo fijo para las enmiendas pendientes a una serie de reglamentos, entre ellos las Normas sobre Peces y Productos Pesqueros (Inspección y Control de Calidad) y la Política Aduanera de Importación, así como para la aprobación de las Directrices para el Control del Comercio de Especies Marinas incluidas en la CITES y el Protocolo para Especímenes Marinos Incautados. La WCS también celebra la finalización de cuatro nuevos Planes Nacionales de Desarrollo (NDF). La WCS mantiene su compromiso de seguir apoyando a la Autoridad Administrativa de la CITES de Bangladés en el fortalecimiento de la capacidad de aplicación de la ley, la identificación y trazabilidad de especies, y en la implementación de las recomendaciones para el comercio de tiburones y rayas.</w:t>
      </w:r>
    </w:p>
    <w:p w:rsidRPr="00682E50" w:rsidR="00682E50" w:rsidP="164385D1" w:rsidRDefault="00682E50" w14:paraId="59F50BBE" w14:textId="40491632">
      <w:pPr>
        <w:spacing w:line="240" w:lineRule="auto"/>
      </w:pPr>
    </w:p>
    <w:p w:rsidRPr="00682E50" w:rsidR="00682E50" w:rsidP="00682E50" w:rsidRDefault="00682E50" w14:paraId="5EA87261" w14:textId="093DCF91">
      <w:pPr>
        <w:pStyle w:val="Heading1"/>
        <w:rPr>
          <w:rFonts w:ascii="Aptos" w:hAnsi="Aptos"/>
          <w:sz w:val="22"/>
          <w:szCs w:val="22"/>
        </w:rPr>
      </w:pPr>
      <w:bookmarkStart w:name="_33.5:_Application_of" w:id="48"/>
      <w:bookmarkStart w:name="___5._Application" w:id="49"/>
      <w:bookmarkStart w:name="_Toc242564000" w:id="50"/>
      <w:bookmarkEnd w:id="48"/>
      <w:r>
        <w:rPr>
          <w:rFonts w:ascii="Aptos" w:hAnsi="Aptos"/>
          <w:sz w:val="22"/>
          <w:szCs w:val="22"/>
        </w:rPr>
        <w:t xml:space="preserve">33.5:</w:t>
      </w:r>
      <w:hyperlink w:history="1" r:id="rId36">
        <w:bookmarkStart w:name="_33.5._Application_of" w:id="51"/>
        <w:r w:rsidRPr="00682E50">
          <w:rPr>
            <w:rStyle w:val="Hyperlink"/>
            <w:rFonts w:ascii="Aptos" w:hAnsi="Aptos"/>
            <w:sz w:val="22"/>
            <w:szCs w:val="22"/>
            <w:u w:val="none"/>
          </w:rPr>
          <w:t xml:space="preserve"> </w:t>
        </w:r>
        <w:r w:rsidRPr="00682E50">
          <w:rPr>
            <w:rStyle w:val="Hyperlink"/>
            <w:rFonts w:ascii="Aptos" w:hAnsi="Aptos"/>
            <w:sz w:val="22"/>
            <w:szCs w:val="22"/>
          </w:rPr>
          <w:t xml:space="preserve">Aplicación del artículo XIII en la República Democrática del Congo</w:t>
        </w:r>
        <w:bookmarkEnd w:id="49"/>
        <w:bookmarkEnd w:id="50"/>
      </w:hyperlink>
      <w:bookmarkEnd w:id="51"/>
      <w:r w:rsidRPr="00682E50">
        <w:rPr>
          <w:rFonts w:ascii="Aptos" w:hAnsi="Aptos"/>
          <w:sz w:val="22"/>
          <w:szCs w:val="22"/>
        </w:rPr>
        <w:t xml:space="preserve"> </w:t>
      </w:r>
    </w:p>
    <w:p w:rsidR="00682E50" w:rsidP="00682E50" w:rsidRDefault="00682E50" w14:paraId="27D16316" w14:textId="77777777">
      <w:pPr>
        <w:spacing w:line="240" w:lineRule="auto"/>
        <w:rPr>
          <w:rFonts w:ascii="Aptos" w:hAnsi="Aptos" w:eastAsia="Aptos" w:cs="Aptos"/>
          <w:color w:val="B8CCE4" w:themeColor="accent1" w:themeTint="66"/>
        </w:rPr>
      </w:pPr>
    </w:p>
    <w:p w:rsidR="2FB50903" w:rsidP="164385D1" w:rsidRDefault="2FB50903" w14:paraId="2EA173E1" w14:textId="19F891F6">
      <w:pPr>
        <w:spacing w:line="240" w:lineRule="auto"/>
        <w:rPr>
          <w:rFonts w:ascii="Aptos" w:hAnsi="Aptos" w:eastAsia="Aptos" w:cs="Aptos"/>
          <w:color w:val="B8CCE4" w:themeColor="accent1" w:themeTint="66"/>
          <w:lang w:val="en-SG"/>
        </w:rPr>
      </w:pPr>
      <w:r w:rsidRPr="164385D1">
        <w:rPr>
          <w:rFonts w:ascii="Aptos" w:hAnsi="Aptos" w:eastAsia="Aptos" w:cs="Aptos"/>
          <w:color w:val="4F80BD"/>
          <w:lang w:val="en-SG"/>
        </w:rPr>
        <w:t xml:space="preserve">Esperamos poder aportar comentarios adicionales a medida que se acerque la 81.ª reunión del Comité de Conservación (SC81).</w:t>
      </w:r>
    </w:p>
    <w:p w:rsidRPr="00682E50" w:rsidR="00682E50" w:rsidP="00682E50" w:rsidRDefault="00682E50" w14:paraId="2854B63B" w14:textId="77777777">
      <w:pPr>
        <w:spacing w:line="240" w:lineRule="auto"/>
        <w:rPr>
          <w:rFonts w:ascii="Aptos" w:hAnsi="Aptos"/>
        </w:rPr>
      </w:pPr>
    </w:p>
    <w:p w:rsidRPr="00682E50" w:rsidR="00682E50" w:rsidP="00682E50" w:rsidRDefault="00682E50" w14:paraId="54DFCF7F" w14:textId="2350A533">
      <w:pPr>
        <w:pStyle w:val="Heading1"/>
        <w:rPr>
          <w:rFonts w:ascii="Aptos" w:hAnsi="Aptos"/>
          <w:sz w:val="22"/>
          <w:szCs w:val="22"/>
        </w:rPr>
      </w:pPr>
      <w:bookmarkStart w:name="_33.6:_Application_of" w:id="52"/>
      <w:bookmarkStart w:name="___6._Application" w:id="53"/>
      <w:bookmarkStart w:name="_Toc242564001" w:id="54"/>
      <w:bookmarkEnd w:id="52"/>
      <w:r>
        <w:rPr>
          <w:rFonts w:ascii="Aptos" w:hAnsi="Aptos"/>
          <w:sz w:val="22"/>
          <w:szCs w:val="22"/>
        </w:rPr>
        <w:t xml:space="preserve">33.6: </w:t>
      </w:r>
      <w:hyperlink w:history="1" r:id="rId37">
        <w:r w:rsidRPr="00682E50">
          <w:rPr>
            <w:rStyle w:val="Hyperlink"/>
            <w:rFonts w:ascii="Aptos" w:hAnsi="Aptos"/>
            <w:sz w:val="22"/>
            <w:szCs w:val="22"/>
          </w:rPr>
          <w:t xml:space="preserve">Aplicación del artículo XIII en Ecuador y Perú</w:t>
        </w:r>
        <w:bookmarkEnd w:id="53"/>
        <w:bookmarkEnd w:id="54"/>
      </w:hyperlink>
      <w:r w:rsidRPr="00682E50">
        <w:rPr>
          <w:rFonts w:ascii="Aptos" w:hAnsi="Aptos"/>
          <w:sz w:val="22"/>
          <w:szCs w:val="22"/>
        </w:rPr>
        <w:t xml:space="preserve"> </w:t>
      </w:r>
    </w:p>
    <w:p w:rsidR="00682E50" w:rsidP="00682E50" w:rsidRDefault="00682E50" w14:paraId="0EEF0272" w14:textId="77777777">
      <w:pPr>
        <w:pStyle w:val="SC81Normal"/>
        <w:spacing w:after="0"/>
      </w:pPr>
    </w:p>
    <w:p w:rsidRPr="00682E50" w:rsidR="00682E50" w:rsidP="00682E50" w:rsidRDefault="00682E50" w14:paraId="292821B7" w14:textId="72D5CB8E">
      <w:pPr>
        <w:pStyle w:val="SC81Normal"/>
        <w:spacing w:after="0"/>
      </w:pPr>
      <w:r w:rsidRPr="00682E50">
        <w:lastRenderedPageBreak/>
      </w:r>
      <w:r w:rsidRPr="00682E50">
        <w:t xml:space="preserve">La WCS toma nota de los avances logrados por Ecuador en la implementación de las listas de tiburones y rayas detalladas en este documento. Estamos totalmente de acuerdo con las recomendaciones de continuar la suspensión del comercio de tiburones sedosos, mako y zorro hasta que se establezcan NDF adecuados.</w:t>
      </w:r>
    </w:p>
    <w:p w:rsidRPr="00682E50" w:rsidR="00682E50" w:rsidP="00682E50" w:rsidRDefault="00682E50" w14:paraId="03A23683" w14:textId="77777777">
      <w:pPr>
        <w:pStyle w:val="SC81Normal"/>
        <w:spacing w:after="0"/>
      </w:pPr>
      <w:r w:rsidRPr="00682E50">
        <w:t xml:space="preserve">Sin embargo, presentar la información sobre los nuevos NDF propuestos únicamente al presidente del Comité Asesor (AC) y a la Secretaría resulta insuficiente, dada la magnitud del comercio en cuestión, la naturaleza técnica del tema y el hecho de que varias de estas especies están clasificadas como «En Peligro» en la Lista Roja de Especies Amenazadas de la UICN. </w:t>
      </w:r>
    </w:p>
    <w:p w:rsidRPr="00682E50" w:rsidR="00682E50" w:rsidP="00682E50" w:rsidRDefault="00682E50" w14:paraId="0111E894" w14:textId="77777777">
      <w:pPr>
        <w:spacing w:line="240" w:lineRule="auto"/>
        <w:rPr>
          <w:rFonts w:ascii="Aptos" w:hAnsi="Aptos" w:eastAsia="Aptos" w:cs="Aptos"/>
          <w:lang w:val="en-US"/>
        </w:rPr>
      </w:pPr>
    </w:p>
    <w:p w:rsidRPr="00682E50" w:rsidR="00682E50" w:rsidP="00682E50" w:rsidRDefault="00682E50" w14:paraId="271436F5" w14:textId="77777777">
      <w:pPr>
        <w:spacing w:line="240" w:lineRule="auto"/>
        <w:rPr>
          <w:rFonts w:ascii="Aptos" w:hAnsi="Aptos" w:eastAsia="Aptos" w:cs="Aptos"/>
          <w:color w:val="B8CCE4" w:themeColor="accent1" w:themeTint="66"/>
          <w:lang w:val="en-US"/>
        </w:rPr>
      </w:pPr>
      <w:r w:rsidRPr="00682E50">
        <w:rPr>
          <w:rFonts w:ascii="Aptos" w:hAnsi="Aptos" w:eastAsia="Aptos" w:cs="Aptos"/>
          <w:lang w:val="en-US"/>
        </w:rPr>
        <w:t xml:space="preserve">Este documento contiene detalles sobre el comercio a gran escala que se lleva a cabo actualmente con especies clasificadas como «En peligro» en la Lista Roja de Especies Amenazadas de la UICN, y se debe dar prioridad a garantizar que cualquier comercio que continúe con estas especies sea sostenible; además, la información proporcionada por Ecuador con ese fin en forma de NDF revisados debería presentarse al Comité de Animales para su análisis (y no solo al del presidente del CA) antes de que este tema se vuelva a presentar en la 82.ª reunión del Comité de Conservación (SC 82). </w:t>
      </w:r>
    </w:p>
    <w:p w:rsidRPr="00682E50" w:rsidR="00682E50" w:rsidP="00682E50" w:rsidRDefault="00682E50" w14:paraId="4D8D0988" w14:textId="77777777">
      <w:pPr>
        <w:spacing w:line="240" w:lineRule="auto"/>
        <w:rPr>
          <w:rFonts w:ascii="Aptos" w:hAnsi="Aptos" w:eastAsia="Aptos" w:cs="Aptos"/>
        </w:rPr>
      </w:pPr>
    </w:p>
    <w:p w:rsidRPr="00682E50" w:rsidR="00682E50" w:rsidP="00682E50" w:rsidRDefault="00682E50" w14:paraId="36B3720C" w14:textId="560EB2E0">
      <w:pPr>
        <w:pStyle w:val="Heading1"/>
        <w:rPr>
          <w:rFonts w:ascii="Aptos" w:hAnsi="Aptos"/>
          <w:sz w:val="22"/>
          <w:szCs w:val="22"/>
        </w:rPr>
      </w:pPr>
      <w:bookmarkStart w:name="_33.8._Application_of_1" w:id="55"/>
      <w:bookmarkStart w:name="_33.8._Application_of" w:id="56"/>
      <w:bookmarkStart w:name="_Toc242564002" w:id="57"/>
      <w:bookmarkEnd w:id="55"/>
      <w:r w:rsidRPr="00682E50">
        <w:rPr>
          <w:rFonts w:ascii="Aptos" w:hAnsi="Aptos"/>
          <w:sz w:val="22"/>
          <w:szCs w:val="22"/>
        </w:rPr>
        <w:t xml:space="preserve">33.</w:t>
      </w:r>
      <w:bookmarkStart w:name="___8._Application" w:id="58"/>
      <w:r w:rsidRPr="00682E50">
        <w:rPr>
          <w:rFonts w:ascii="Aptos" w:hAnsi="Aptos"/>
          <w:sz w:val="22"/>
          <w:szCs w:val="22"/>
        </w:rPr>
        <w:t xml:space="preserve"> 8</w:t>
      </w:r>
      <w:r w:rsidR="00395EA8">
        <w:rPr>
          <w:rFonts w:ascii="Aptos" w:hAnsi="Aptos"/>
          <w:sz w:val="22"/>
          <w:szCs w:val="22"/>
        </w:rPr>
        <w:t xml:space="preserve">: </w:t>
      </w:r>
      <w:r w:rsidRPr="00682E50">
        <w:rPr>
          <w:rFonts w:ascii="Aptos" w:hAnsi="Aptos"/>
          <w:sz w:val="22"/>
          <w:szCs w:val="22"/>
        </w:rPr>
        <w:t xml:space="preserve">Aplicación del artículo XIII en la India</w:t>
      </w:r>
      <w:bookmarkEnd w:id="56"/>
      <w:bookmarkEnd w:id="57"/>
      <w:bookmarkEnd w:id="58"/>
      <w:r w:rsidRPr="00682E50">
        <w:rPr>
          <w:rFonts w:ascii="Aptos" w:hAnsi="Aptos"/>
          <w:sz w:val="22"/>
          <w:szCs w:val="22"/>
        </w:rPr>
        <w:t xml:space="preserve"> </w:t>
      </w:r>
    </w:p>
    <w:p w:rsidR="00682E50" w:rsidP="00682E50" w:rsidRDefault="00682E50" w14:paraId="1755CEFF" w14:textId="77777777">
      <w:pPr>
        <w:spacing w:line="240" w:lineRule="auto"/>
        <w:rPr>
          <w:rFonts w:ascii="Aptos" w:hAnsi="Aptos" w:eastAsia="Aptos" w:cs="Aptos"/>
        </w:rPr>
      </w:pPr>
    </w:p>
    <w:p w:rsidR="00682E50" w:rsidP="00682E50" w:rsidRDefault="00682E50" w14:paraId="1DA06BAE" w14:textId="79FCE3A8">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Esperamos poder aportar </w:t>
      </w:r>
      <w:r w:rsidRPr="73356980" w:rsidR="4318241D">
        <w:rPr>
          <w:rFonts w:ascii="Aptos" w:hAnsi="Aptos" w:eastAsia="Aptos" w:cs="Aptos"/>
          <w:color w:val="B8CCE4" w:themeColor="accent1" w:themeTint="66"/>
          <w:lang w:val="en-SG"/>
        </w:rPr>
        <w:t xml:space="preserve">comentarios</w:t>
      </w:r>
      <w:r w:rsidRPr="73356980">
        <w:rPr>
          <w:rFonts w:ascii="Aptos" w:hAnsi="Aptos" w:eastAsia="Aptos" w:cs="Aptos"/>
          <w:color w:val="B8CCE4" w:themeColor="accent1" w:themeTint="66"/>
          <w:lang w:val="en-SG"/>
        </w:rPr>
        <w:t xml:space="preserve"> adicionales </w:t>
      </w:r>
      <w:r w:rsidRPr="73356980">
        <w:rPr>
          <w:rFonts w:ascii="Aptos" w:hAnsi="Aptos" w:eastAsia="Aptos" w:cs="Aptos"/>
          <w:color w:val="B8CCE4" w:themeColor="accent1" w:themeTint="66"/>
          <w:lang w:val="en-SG"/>
        </w:rPr>
        <w:t xml:space="preserve">cuando se acerque la SC81. </w:t>
      </w:r>
    </w:p>
    <w:p w:rsidRPr="00682E50" w:rsidR="00682E50" w:rsidP="00682E50" w:rsidRDefault="00682E50" w14:paraId="0E48E5B1" w14:textId="77777777">
      <w:pPr>
        <w:spacing w:line="240" w:lineRule="auto"/>
        <w:rPr>
          <w:rFonts w:ascii="Aptos" w:hAnsi="Aptos" w:eastAsia="Aptos" w:cs="Aptos"/>
        </w:rPr>
      </w:pPr>
    </w:p>
    <w:p w:rsidRPr="00682E50" w:rsidR="00682E50" w:rsidP="00682E50" w:rsidRDefault="00682E50" w14:paraId="51F2CB5A" w14:textId="6545FD65">
      <w:pPr>
        <w:pStyle w:val="Heading1"/>
        <w:rPr>
          <w:rFonts w:ascii="Aptos" w:hAnsi="Aptos"/>
          <w:sz w:val="22"/>
          <w:szCs w:val="22"/>
        </w:rPr>
      </w:pPr>
      <w:bookmarkStart w:name="_33.9:_Application_of" w:id="59"/>
      <w:bookmarkStart w:name="___9._Application" w:id="60"/>
      <w:bookmarkStart w:name="_33.9._Application_of" w:id="61"/>
      <w:bookmarkStart w:name="_Toc242564003" w:id="62"/>
      <w:bookmarkEnd w:id="59"/>
      <w:r w:rsidRPr="00682E50">
        <w:rPr>
          <w:rFonts w:ascii="Aptos" w:hAnsi="Aptos"/>
          <w:sz w:val="22"/>
          <w:szCs w:val="22"/>
        </w:rPr>
        <w:t xml:space="preserve">33.</w:t>
      </w:r>
      <w:r>
        <w:rPr>
          <w:rFonts w:ascii="Aptos" w:hAnsi="Aptos"/>
          <w:sz w:val="22"/>
          <w:szCs w:val="22"/>
        </w:rPr>
        <w:t xml:space="preserve">9: </w:t>
      </w:r>
      <w:r w:rsidRPr="00682E50">
        <w:rPr>
          <w:rFonts w:ascii="Aptos" w:hAnsi="Aptos"/>
          <w:sz w:val="22"/>
          <w:szCs w:val="22"/>
        </w:rPr>
        <w:t xml:space="preserve">Aplicación del artículo XIII en la República Democrática Popular de Laos</w:t>
      </w:r>
      <w:bookmarkEnd w:id="60"/>
      <w:bookmarkEnd w:id="61"/>
      <w:bookmarkEnd w:id="62"/>
    </w:p>
    <w:p w:rsidRPr="00682E50" w:rsidR="00682E50" w:rsidP="00682E50" w:rsidRDefault="00682E50" w14:paraId="6927D83E" w14:textId="77777777">
      <w:pPr>
        <w:spacing w:line="240" w:lineRule="auto"/>
        <w:rPr>
          <w:rFonts w:ascii="Aptos" w:hAnsi="Aptos"/>
        </w:rPr>
      </w:pPr>
    </w:p>
    <w:p w:rsidR="00682E50" w:rsidP="00682E50" w:rsidRDefault="00682E50" w14:paraId="5F2D02B9" w14:textId="74B6C76A">
      <w:pPr>
        <w:spacing w:line="240" w:lineRule="auto"/>
        <w:rPr>
          <w:rFonts w:ascii="Aptos" w:hAnsi="Aptos" w:eastAsia="Aptos" w:cs="Aptos"/>
          <w:lang w:val="en-US"/>
        </w:rPr>
      </w:pPr>
      <w:r w:rsidRPr="00682E50">
        <w:rPr>
          <w:rFonts w:ascii="Aptos" w:hAnsi="Aptos" w:eastAsia="Aptos" w:cs="Aptos"/>
          <w:lang w:val="en-US"/>
        </w:rPr>
        <w:t xml:space="preserve">La WCS colabora estrechamente con el Gobierno de la República Democrática Popular de Laos en labores de conservación sobre el terreno, así como en la aplicación de la CITES y en los esfuerzos nacionales para combatir el tráfico de vida silvestre. La WCS está dispuesta a trabajar en estrecha colaboración con el Gobierno de la República Democrática Popular de Laos para aplicar plenamente las recomendaciones adoptadas por el Comité de Conservación (SC) con el fin de resolver cualquier asunto pendiente relacionado con la aplicación de la CITES</w:t>
      </w:r>
      <w:r>
        <w:rPr>
          <w:rFonts w:ascii="Aptos" w:hAnsi="Aptos" w:eastAsia="Aptos" w:cs="Aptos"/>
          <w:lang w:val="en-US"/>
        </w:rPr>
        <w:t xml:space="preserve">.</w:t>
      </w:r>
    </w:p>
    <w:p w:rsidRPr="00682E50" w:rsidR="00682E50" w:rsidP="00682E50" w:rsidRDefault="00682E50" w14:paraId="4BDBCE13" w14:textId="77777777">
      <w:pPr>
        <w:spacing w:line="240" w:lineRule="auto"/>
        <w:rPr>
          <w:rFonts w:ascii="Aptos" w:hAnsi="Aptos" w:eastAsia="Aptos" w:cs="Aptos"/>
          <w:lang w:val="en-US"/>
        </w:rPr>
      </w:pPr>
    </w:p>
    <w:p w:rsidRPr="00682E50" w:rsidR="00682E50" w:rsidP="00682E50" w:rsidRDefault="00682E50" w14:paraId="5CCE4FD1" w14:textId="59103597">
      <w:pPr>
        <w:pStyle w:val="Heading1"/>
        <w:rPr>
          <w:rStyle w:val="Hyperlink"/>
          <w:rFonts w:ascii="Aptos" w:hAnsi="Aptos"/>
          <w:sz w:val="22"/>
          <w:szCs w:val="22"/>
        </w:rPr>
      </w:pPr>
      <w:bookmarkStart w:name="_33.10:_Application_of" w:id="63"/>
      <w:bookmarkStart w:name="___10._Application" w:id="64"/>
      <w:bookmarkStart w:name="_Toc242564004" w:id="65"/>
      <w:bookmarkEnd w:id="63"/>
      <w:r>
        <w:rPr>
          <w:rFonts w:ascii="Aptos" w:hAnsi="Aptos"/>
          <w:sz w:val="22"/>
          <w:szCs w:val="22"/>
        </w:rPr>
        <w:t xml:space="preserve">33.10:</w:t>
      </w:r>
      <w:hyperlink w:history="1" r:id="rId38">
        <w:bookmarkStart w:name="_33.10._Application_of" w:id="66"/>
        <w:r w:rsidRPr="00682E50">
          <w:rPr>
            <w:rStyle w:val="Hyperlink"/>
            <w:rFonts w:ascii="Aptos" w:hAnsi="Aptos"/>
            <w:sz w:val="22"/>
            <w:szCs w:val="22"/>
          </w:rPr>
          <w:t xml:space="preserve"> Aplicación del artículo XIII en Nigeria</w:t>
        </w:r>
        <w:bookmarkEnd w:id="64"/>
        <w:bookmarkEnd w:id="65"/>
      </w:hyperlink>
      <w:bookmarkEnd w:id="66"/>
    </w:p>
    <w:p w:rsidR="00682E50" w:rsidP="00682E50" w:rsidRDefault="00682E50" w14:paraId="4AC208F9" w14:textId="77777777">
      <w:pPr>
        <w:spacing w:line="240" w:lineRule="auto"/>
        <w:rPr>
          <w:rFonts w:ascii="Aptos" w:hAnsi="Aptos" w:eastAsia="Aptos" w:cs="Aptos"/>
        </w:rPr>
      </w:pPr>
    </w:p>
    <w:p w:rsidR="221ABD69" w:rsidP="164385D1" w:rsidRDefault="221ABD69" w14:paraId="068459ED" w14:textId="13DD3F39">
      <w:pPr>
        <w:spacing w:line="240" w:lineRule="auto"/>
        <w:rPr>
          <w:rFonts w:ascii="Aptos" w:hAnsi="Aptos" w:eastAsia="Aptos" w:cs="Aptos"/>
          <w:lang w:val="en-US"/>
        </w:rPr>
      </w:pPr>
      <w:r w:rsidRPr="164385D1">
        <w:rPr>
          <w:rFonts w:ascii="Aptos" w:hAnsi="Aptos" w:eastAsia="Aptos" w:cs="Aptos"/>
          <w:lang w:val="en-US"/>
        </w:rPr>
        <w:t xml:space="preserve">WCS trabaja en estrecha colaboración con el Gobierno de Nigeria y las autoridades pertinentes en iniciativas de lucha contra la caza furtiva y de aplicación de la ley basadas en inteligencia, entre otras intervenciones, en la Reserva de Caza de Yankari en el estado de Bauchi, así como en el Parque Nacional de Cross River y el paisaje más amplio del estado de Cross River. Acogemos con satisfacción los avances informados por Nigeria y esperamos con interés la adopción oportuna del Proyecto de Ley de Conservación y Protección de Especies en Peligro de Extinción para finales de 2026.</w:t>
      </w:r>
    </w:p>
    <w:p w:rsidR="00682E50" w:rsidP="00682E50" w:rsidRDefault="00682E50" w14:paraId="22802A26" w14:textId="77777777">
      <w:pPr>
        <w:pStyle w:val="Heading1"/>
        <w:rPr>
          <w:rFonts w:ascii="Aptos" w:hAnsi="Aptos"/>
          <w:sz w:val="22"/>
          <w:szCs w:val="22"/>
        </w:rPr>
      </w:pPr>
    </w:p>
    <w:p w:rsidRPr="00682E50" w:rsidR="00682E50" w:rsidP="00682E50" w:rsidRDefault="00682E50" w14:paraId="4EDB303F" w14:textId="77777777"/>
    <w:p w:rsidRPr="00682E50" w:rsidR="00682E50" w:rsidP="00682E50" w:rsidRDefault="00682E50" w14:paraId="29DDC4A7" w14:textId="0EE35EE9">
      <w:pPr>
        <w:pStyle w:val="Heading1"/>
        <w:rPr>
          <w:rFonts w:ascii="Aptos" w:hAnsi="Aptos"/>
          <w:sz w:val="22"/>
          <w:szCs w:val="22"/>
        </w:rPr>
      </w:pPr>
      <w:bookmarkStart w:name="_34:_National_ivory" w:id="67"/>
      <w:bookmarkStart w:name="_National_ivory_action" w:id="68"/>
      <w:bookmarkStart w:name="_Toc242564005" w:id="69"/>
      <w:bookmarkEnd w:id="67"/>
      <w:r w:rsidRPr="00682E50">
        <w:rPr>
          <w:rFonts w:ascii="Aptos" w:hAnsi="Aptos"/>
          <w:sz w:val="22"/>
          <w:szCs w:val="22"/>
        </w:rPr>
        <w:t xml:space="preserve">34</w:t>
      </w:r>
      <w:r>
        <w:rPr>
          <w:rFonts w:ascii="Aptos" w:hAnsi="Aptos"/>
          <w:sz w:val="22"/>
          <w:szCs w:val="22"/>
        </w:rPr>
        <w:t xml:space="preserve">: </w:t>
      </w:r>
      <w:r w:rsidRPr="00682E50">
        <w:rPr>
          <w:rFonts w:ascii="Aptos" w:hAnsi="Aptos"/>
          <w:sz w:val="22"/>
          <w:szCs w:val="22"/>
        </w:rPr>
        <w:t xml:space="preserve">Proceso del plan de acción nacional sobre el marfil</w:t>
      </w:r>
      <w:bookmarkEnd w:id="68"/>
      <w:bookmarkEnd w:id="69"/>
      <w:r w:rsidRPr="00682E50">
        <w:rPr>
          <w:rFonts w:ascii="Aptos" w:hAnsi="Aptos"/>
          <w:sz w:val="22"/>
          <w:szCs w:val="22"/>
        </w:rPr>
        <w:t xml:space="preserve"> </w:t>
      </w:r>
    </w:p>
    <w:p w:rsidRPr="00682E50" w:rsidR="00682E50" w:rsidP="00682E50" w:rsidRDefault="00682E50" w14:paraId="3BCE1422" w14:textId="77777777">
      <w:pPr>
        <w:spacing w:line="240" w:lineRule="auto"/>
        <w:rPr>
          <w:rFonts w:ascii="Aptos" w:hAnsi="Aptos" w:eastAsia="Aptos" w:cs="Aptos"/>
        </w:rPr>
      </w:pPr>
    </w:p>
    <w:p w:rsidRPr="00682E50" w:rsidR="00682E50" w:rsidP="00682E50" w:rsidRDefault="00682E50" w14:paraId="6BE7318B" w14:textId="3288C82B">
      <w:pPr>
        <w:pStyle w:val="Heading1"/>
        <w:rPr>
          <w:rFonts w:ascii="Aptos" w:hAnsi="Aptos"/>
          <w:sz w:val="22"/>
          <w:szCs w:val="22"/>
        </w:rPr>
      </w:pPr>
      <w:bookmarkStart w:name="_34.1:_Implementation_of" w:id="70"/>
      <w:bookmarkStart w:name="_Toc242564006" w:id="71"/>
      <w:bookmarkEnd w:id="70"/>
      <w:r w:rsidRPr="00682E50">
        <w:rPr>
          <w:rFonts w:ascii="Aptos" w:hAnsi="Aptos"/>
          <w:sz w:val="22"/>
          <w:szCs w:val="22"/>
        </w:rPr>
        <w:t xml:space="preserve">34.</w:t>
      </w:r>
      <w:bookmarkStart w:name="___1._Implementation_1" w:id="72"/>
      <w:r w:rsidRPr="00682E50">
        <w:rPr>
          <w:rFonts w:ascii="Aptos" w:hAnsi="Aptos"/>
          <w:sz w:val="22"/>
          <w:szCs w:val="22"/>
        </w:rPr>
        <w:t xml:space="preserve"> 1</w:t>
      </w:r>
      <w:r>
        <w:rPr>
          <w:rFonts w:ascii="Aptos" w:hAnsi="Aptos"/>
          <w:sz w:val="22"/>
          <w:szCs w:val="22"/>
        </w:rPr>
        <w:t xml:space="preserve">: </w:t>
      </w:r>
      <w:r w:rsidRPr="00682E50">
        <w:rPr>
          <w:rFonts w:ascii="Aptos" w:hAnsi="Aptos"/>
          <w:sz w:val="22"/>
          <w:szCs w:val="22"/>
        </w:rPr>
        <w:t xml:space="preserve">Implementación del proceso del plan de acción nacional sobre el marfil [(Resolución Conf. 10.10 (Rev. CoP20), Anexo 3), etapa 4</w:t>
      </w:r>
      <w:bookmarkStart w:name="_Int_kYjYcuqK" w:id="73"/>
      <w:r w:rsidRPr="00682E50">
        <w:rPr>
          <w:rFonts w:ascii="Aptos" w:hAnsi="Aptos"/>
          <w:sz w:val="22"/>
          <w:szCs w:val="22"/>
        </w:rPr>
        <w:t xml:space="preserve"> ]</w:t>
      </w:r>
      <w:bookmarkEnd w:id="71"/>
      <w:bookmarkEnd w:id="72"/>
      <w:bookmarkEnd w:id="73"/>
    </w:p>
    <w:p w:rsidR="00682E50" w:rsidP="00682E50" w:rsidRDefault="00682E50" w14:paraId="73FB12CF" w14:textId="77777777">
      <w:pPr>
        <w:spacing w:line="240" w:lineRule="auto"/>
        <w:rPr>
          <w:rFonts w:ascii="Aptos" w:hAnsi="Aptos" w:eastAsia="Aptos" w:cs="Aptos"/>
          <w:color w:val="B8CCE4" w:themeColor="accent1" w:themeTint="66"/>
          <w:lang w:val="en-SG"/>
        </w:rPr>
      </w:pPr>
    </w:p>
    <w:p w:rsidR="00682E50" w:rsidP="00682E50" w:rsidRDefault="00682E50" w14:paraId="7AD5729C" w14:textId="58829E10">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Esperamos poder aportar </w:t>
      </w:r>
      <w:r w:rsidRPr="73356980" w:rsidR="0C4EF09B">
        <w:rPr>
          <w:rFonts w:ascii="Aptos" w:hAnsi="Aptos" w:eastAsia="Aptos" w:cs="Aptos"/>
          <w:color w:val="B8CCE4" w:themeColor="accent1" w:themeTint="66"/>
          <w:lang w:val="en-SG"/>
        </w:rPr>
        <w:t xml:space="preserve">comentarios</w:t>
      </w:r>
      <w:r w:rsidRPr="73356980">
        <w:rPr>
          <w:rFonts w:ascii="Aptos" w:hAnsi="Aptos" w:eastAsia="Aptos" w:cs="Aptos"/>
          <w:color w:val="B8CCE4" w:themeColor="accent1" w:themeTint="66"/>
          <w:lang w:val="en-SG"/>
        </w:rPr>
        <w:t xml:space="preserve"> adicionales </w:t>
      </w:r>
      <w:r w:rsidRPr="73356980">
        <w:rPr>
          <w:rFonts w:ascii="Aptos" w:hAnsi="Aptos" w:eastAsia="Aptos" w:cs="Aptos"/>
          <w:color w:val="B8CCE4" w:themeColor="accent1" w:themeTint="66"/>
          <w:lang w:val="en-SG"/>
        </w:rPr>
        <w:t xml:space="preserve">a medida que se acerque la SC81. </w:t>
      </w:r>
    </w:p>
    <w:p w:rsidRPr="00682E50" w:rsidR="00682E50" w:rsidP="00682E50" w:rsidRDefault="00682E50" w14:paraId="6FE1A11F" w14:textId="77777777">
      <w:pPr>
        <w:spacing w:line="240" w:lineRule="auto"/>
        <w:rPr>
          <w:rFonts w:ascii="Aptos" w:hAnsi="Aptos" w:eastAsia="Aptos" w:cs="Aptos"/>
        </w:rPr>
      </w:pPr>
    </w:p>
    <w:p w:rsidRPr="00682E50" w:rsidR="00682E50" w:rsidP="00682E50" w:rsidRDefault="00682E50" w14:paraId="3DEF25FC" w14:textId="20657EAB">
      <w:pPr>
        <w:pStyle w:val="Heading1"/>
        <w:rPr>
          <w:rFonts w:ascii="Aptos" w:hAnsi="Aptos"/>
          <w:sz w:val="22"/>
          <w:szCs w:val="22"/>
        </w:rPr>
      </w:pPr>
      <w:bookmarkStart w:name="_34.2:_Review_of" w:id="74"/>
      <w:bookmarkStart w:name="___2._Review" w:id="75"/>
      <w:bookmarkStart w:name="_Toc242564007" w:id="76"/>
      <w:bookmarkEnd w:id="74"/>
      <w:r>
        <w:rPr>
          <w:rFonts w:ascii="Aptos" w:hAnsi="Aptos"/>
          <w:sz w:val="22"/>
          <w:szCs w:val="22"/>
        </w:rPr>
        <w:t xml:space="preserve">34.2: </w:t>
      </w:r>
      <w:hyperlink w:history="1" r:id="rId39">
        <w:r w:rsidRPr="00682E50">
          <w:rPr>
            <w:rStyle w:val="Hyperlink"/>
            <w:rFonts w:ascii="Aptos" w:hAnsi="Aptos"/>
            <w:sz w:val="22"/>
            <w:szCs w:val="22"/>
          </w:rPr>
          <w:t xml:space="preserve">Revisión del proceso de los Planes de Acción Nacionales sobre el Marfil (Decisión 20.101</w:t>
        </w:r>
      </w:hyperlink>
      <w:r w:rsidRPr="00682E50">
        <w:rPr>
          <w:rFonts w:ascii="Aptos" w:hAnsi="Aptos"/>
          <w:sz w:val="22"/>
          <w:szCs w:val="22"/>
        </w:rPr>
        <w:t xml:space="preserve">)</w:t>
      </w:r>
      <w:bookmarkEnd w:id="75"/>
      <w:bookmarkEnd w:id="76"/>
    </w:p>
    <w:p w:rsidR="00682E50" w:rsidP="00682E50" w:rsidRDefault="00682E50" w14:paraId="73393730" w14:textId="77777777">
      <w:pPr>
        <w:pStyle w:val="SC81Normal"/>
        <w:spacing w:after="0"/>
      </w:pPr>
    </w:p>
    <w:p w:rsidR="00682E50" w:rsidP="00682E50" w:rsidRDefault="00682E50" w14:paraId="1A911AD4" w14:textId="11EAAE9B">
      <w:pPr>
        <w:pStyle w:val="SC81Normal"/>
        <w:spacing w:after="0"/>
      </w:pPr>
      <w:r w:rsidRPr="00682E50">
        <w:t xml:space="preserve">Estamos de acuerdo en que la plantilla del NIAP debería modificarse para incluir medios de verificación, así como un proceso simplificado que garantice que las acciones del NIAP que no se logren dentro del plazo previsto puedan prorrogarse. Esperamos con interés que el SC82 considere estos cambios propuestos. </w:t>
      </w:r>
    </w:p>
    <w:p w:rsidRPr="00682E50" w:rsidR="00682E50" w:rsidP="00682E50" w:rsidRDefault="00682E50" w14:paraId="2E512C73" w14:textId="77777777">
      <w:pPr>
        <w:pStyle w:val="SC81Normal"/>
        <w:spacing w:after="0"/>
      </w:pPr>
    </w:p>
    <w:p w:rsidR="00682E50" w:rsidP="00682E50" w:rsidRDefault="00682E50" w14:paraId="4BBEE82B" w14:textId="77777777">
      <w:pPr>
        <w:pStyle w:val="SC81Normal"/>
        <w:spacing w:after="0"/>
      </w:pPr>
      <w:r w:rsidRPr="00682E50">
        <w:lastRenderedPageBreak/>
      </w:r>
      <w:r w:rsidRPr="00682E50">
        <w:t xml:space="preserve">No estamos de acuerdo con el análisis de la Secretaría citado en el documento CoP20 Doc. 35.2, según el cual los aspectos relacionados con «la composición, las limitaciones de tiempo y las implicaciones en materia de recursos» podrían superar los posibles beneficios de un órgano consultivo independiente. Comprendemos las limitaciones actuales de recursos, pero creemos que la eficacia de un órgano consultivo independiente ayudaría a las Partes a enfocar y llevar a cabo las medidas más importantes para reducir la matanza ilegal de elefantes y el comercio ilegal de marfil, lo que reduciría los gastos a largo plazo en el proceso del NIAP.  </w:t>
      </w:r>
    </w:p>
    <w:p w:rsidRPr="00682E50" w:rsidR="00682E50" w:rsidP="00682E50" w:rsidRDefault="00682E50" w14:paraId="79B2873F" w14:textId="77777777">
      <w:pPr>
        <w:pStyle w:val="SC81Normal"/>
        <w:spacing w:after="0"/>
      </w:pPr>
    </w:p>
    <w:p w:rsidRPr="00682E50" w:rsidR="00682E50" w:rsidP="00682E50" w:rsidRDefault="00682E50" w14:paraId="75DD9974" w14:textId="77777777">
      <w:pPr>
        <w:pStyle w:val="SC81Normal"/>
        <w:spacing w:after="0"/>
      </w:pPr>
      <w:r w:rsidRPr="00682E50">
        <w:t xml:space="preserve">Observamos conexiones entre este debate y las opciones presentadas en el documento 32.3 y creemos que esto podría integrarse en las deliberaciones de un grupo de trabajo entre períodos de sesiones. </w:t>
      </w:r>
    </w:p>
    <w:p w:rsidRPr="00682E50" w:rsidR="00682E50" w:rsidP="00682E50" w:rsidRDefault="00682E50" w14:paraId="5154DD31" w14:textId="77777777">
      <w:pPr>
        <w:spacing w:line="240" w:lineRule="auto"/>
        <w:rPr>
          <w:rFonts w:ascii="Aptos" w:hAnsi="Aptos" w:eastAsia="Aptos" w:cs="Aptos"/>
          <w:lang w:val="en-US"/>
        </w:rPr>
      </w:pPr>
    </w:p>
    <w:p w:rsidRPr="00682E50" w:rsidR="00682E50" w:rsidP="00682E50" w:rsidRDefault="00682E50" w14:paraId="3FB689C7" w14:textId="437D0015">
      <w:pPr>
        <w:pStyle w:val="Heading1"/>
        <w:rPr>
          <w:rFonts w:ascii="Aptos" w:hAnsi="Aptos"/>
          <w:sz w:val="22"/>
          <w:szCs w:val="22"/>
        </w:rPr>
      </w:pPr>
      <w:bookmarkStart w:name="_34.4:_Guidance_on" w:id="77"/>
      <w:bookmarkStart w:name="___4._Guidance" w:id="78"/>
      <w:bookmarkStart w:name="_Toc242564008" w:id="79"/>
      <w:bookmarkEnd w:id="77"/>
      <w:r>
        <w:rPr>
          <w:rFonts w:ascii="Aptos" w:hAnsi="Aptos"/>
          <w:sz w:val="22"/>
          <w:szCs w:val="22"/>
        </w:rPr>
        <w:t xml:space="preserve">34.4: </w:t>
      </w:r>
      <w:hyperlink w:history="1" r:id="rId40">
        <w:r w:rsidRPr="00682E50">
          <w:rPr>
            <w:rStyle w:val="Hyperlink"/>
            <w:rFonts w:ascii="Aptos" w:hAnsi="Aptos"/>
            <w:sz w:val="22"/>
            <w:szCs w:val="22"/>
          </w:rPr>
          <w:t xml:space="preserve">Orientación sobre medidas de cumplimiento específicas para cada Parte basadas en el informe del ETIS (Decisión 20.102)</w:t>
        </w:r>
        <w:bookmarkEnd w:id="78"/>
        <w:bookmarkEnd w:id="79"/>
      </w:hyperlink>
      <w:r w:rsidRPr="00682E50">
        <w:rPr>
          <w:rFonts w:ascii="Aptos" w:hAnsi="Aptos"/>
          <w:sz w:val="22"/>
          <w:szCs w:val="22"/>
        </w:rPr>
        <w:t xml:space="preserve"> </w:t>
      </w:r>
    </w:p>
    <w:p w:rsidR="00682E50" w:rsidP="00682E50" w:rsidRDefault="00682E50" w14:paraId="5B3BCB72" w14:textId="77777777">
      <w:pPr>
        <w:pStyle w:val="SC81Normal"/>
        <w:spacing w:after="0"/>
      </w:pPr>
    </w:p>
    <w:p w:rsidRPr="00682E50" w:rsidR="00682E50" w:rsidP="00682E50" w:rsidRDefault="00682E50" w14:paraId="58D05D20" w14:textId="50FB7EC9">
      <w:pPr>
        <w:pStyle w:val="SC81Normal"/>
        <w:spacing w:after="0"/>
      </w:pPr>
      <w:r w:rsidRPr="00682E50">
        <w:t xml:space="preserve">En términos generales, consideramos que las enmiendas propuestas aportan mayor claridad al alcance de la deliberación del Comité de Supervisión al traducir los datos y el análisis del ETIS en la toma de decisiones sobre la integración de las Partes en el proceso del NIAP. </w:t>
      </w:r>
    </w:p>
    <w:p w:rsidR="00682E50" w:rsidP="00682E50" w:rsidRDefault="00682E50" w14:paraId="23FF513E" w14:textId="77777777">
      <w:pPr>
        <w:pStyle w:val="SC81Normal"/>
        <w:spacing w:after="0"/>
      </w:pPr>
    </w:p>
    <w:p w:rsidR="00682E50" w:rsidP="00682E50" w:rsidRDefault="00682E50" w14:paraId="4C91798E" w14:textId="1FF8B9DF">
      <w:pPr>
        <w:pStyle w:val="SC81Normal"/>
        <w:spacing w:after="0"/>
      </w:pPr>
      <w:r w:rsidRPr="00682E50">
        <w:t xml:space="preserve">Sin embargo, tenemos dos puntos clave con respecto a las enmiendas propuestas al párrafo d) de la Etapa 1, Anexo 3 de la Resolución Conf. 10.10 (Rev. CoP20):</w:t>
      </w:r>
    </w:p>
    <w:p w:rsidRPr="00682E50" w:rsidR="00682E50" w:rsidP="00682E50" w:rsidRDefault="00682E50" w14:paraId="68F2FA4C" w14:textId="77777777">
      <w:pPr>
        <w:pStyle w:val="SC81Normal"/>
        <w:spacing w:after="0"/>
      </w:pPr>
    </w:p>
    <w:p w:rsidRPr="00682E50" w:rsidR="00682E50" w:rsidP="00682E50" w:rsidRDefault="00682E50" w14:paraId="03F109C4"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i/>
          <w:iCs/>
          <w:lang w:val="en-US"/>
        </w:rPr>
        <w:t xml:space="preserve">La </w:t>
      </w:r>
      <w:r w:rsidRPr="00682E50">
        <w:rPr>
          <w:rFonts w:ascii="Aptos" w:hAnsi="Aptos" w:eastAsia="Aptos" w:cs="Aptos"/>
          <w:lang w:val="en-US"/>
        </w:rPr>
        <w:t xml:space="preserve">expresión «</w:t>
      </w:r>
      <w:r w:rsidRPr="00682E50">
        <w:rPr>
          <w:rFonts w:ascii="Aptos" w:hAnsi="Aptos" w:eastAsia="Aptos" w:cs="Aptos"/>
          <w:i/>
          <w:iCs/>
          <w:lang w:val="en-US"/>
        </w:rPr>
        <w:t xml:space="preserve">entre otras </w:t>
      </w:r>
      <w:r w:rsidRPr="00682E50">
        <w:rPr>
          <w:rFonts w:ascii="Aptos" w:hAnsi="Aptos" w:eastAsia="Aptos" w:cs="Aptos"/>
          <w:lang w:val="en-US"/>
        </w:rPr>
        <w:t xml:space="preserve">cosas» es importante, teniendo en cuenta lo siguiente:</w:t>
      </w:r>
    </w:p>
    <w:p w:rsidRPr="00682E50" w:rsidR="00682E50" w:rsidP="00682E50" w:rsidRDefault="00682E50" w14:paraId="51105B20"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Acogemos con satisfacción la referencia a la «respuesta nacional existente, así como a las medidas y el seguimiento de las incautaciones» y a la «presentación de informes nacionales»; sin embargo, creemos que debería incluirse una referencia a la presentación de informes sobre las reservas y la gestión de las mismas, dado tanto el papel que desempeñan las reservas de marfil documentadas en el abastecimiento del comercio ilegal como los problemas relacionados con la falta de información sobre las reservas de marfil que se mencionan en el documento 56. </w:t>
      </w:r>
    </w:p>
    <w:p w:rsidRPr="00682E50" w:rsidR="00682E50" w:rsidP="00682E50" w:rsidRDefault="00682E50" w14:paraId="7B84B9EE"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Nos preocupa que la expresión «Otras consideraciones específicas de las Partes» pueda ser demasiado amplia y sugerimos que se refine un poco esta redacción. </w:t>
      </w:r>
    </w:p>
    <w:p w:rsidR="00682E50" w:rsidP="00682E50" w:rsidRDefault="00682E50" w14:paraId="2DDDE177" w14:textId="77777777">
      <w:pPr>
        <w:spacing w:line="240" w:lineRule="auto"/>
        <w:rPr>
          <w:rFonts w:ascii="Aptos" w:hAnsi="Aptos" w:eastAsia="Aptos" w:cs="Aptos"/>
          <w:color w:val="BFBFBF" w:themeColor="background1" w:themeShade="BF"/>
        </w:rPr>
      </w:pPr>
    </w:p>
    <w:p w:rsidRPr="00682E50" w:rsidR="00682E50" w:rsidP="00682E50" w:rsidRDefault="00682E50" w14:paraId="61ACAD3D" w14:textId="77777777">
      <w:pPr>
        <w:spacing w:line="240" w:lineRule="auto"/>
        <w:rPr>
          <w:rFonts w:ascii="Aptos" w:hAnsi="Aptos" w:eastAsia="Aptos" w:cs="Aptos"/>
          <w:color w:val="BFBFBF" w:themeColor="background1" w:themeShade="BF"/>
        </w:rPr>
      </w:pPr>
    </w:p>
    <w:p w:rsidR="00682E50" w:rsidP="00682E50" w:rsidRDefault="00682E50" w14:paraId="341F4B67" w14:textId="1726C22C">
      <w:pPr>
        <w:pStyle w:val="Heading1"/>
        <w:rPr>
          <w:rFonts w:ascii="Aptos" w:hAnsi="Aptos"/>
          <w:sz w:val="22"/>
          <w:szCs w:val="22"/>
        </w:rPr>
      </w:pPr>
      <w:bookmarkStart w:name="_36:_Review_of" w:id="80"/>
      <w:bookmarkStart w:name="_Review_of_trade" w:id="81"/>
      <w:bookmarkStart w:name="_Toc242564009" w:id="82"/>
      <w:bookmarkEnd w:id="80"/>
      <w:r w:rsidRPr="00682E50">
        <w:rPr>
          <w:rFonts w:ascii="Aptos" w:hAnsi="Aptos"/>
          <w:sz w:val="22"/>
          <w:szCs w:val="22"/>
        </w:rPr>
        <w:t xml:space="preserve">36</w:t>
      </w:r>
      <w:r>
        <w:rPr>
          <w:rFonts w:ascii="Aptos" w:hAnsi="Aptos"/>
          <w:sz w:val="22"/>
          <w:szCs w:val="22"/>
        </w:rPr>
        <w:t xml:space="preserve">: </w:t>
      </w:r>
      <w:r w:rsidRPr="00682E50">
        <w:rPr>
          <w:rFonts w:ascii="Aptos" w:hAnsi="Aptos"/>
          <w:sz w:val="22"/>
          <w:szCs w:val="22"/>
        </w:rPr>
        <w:t xml:space="preserve">Revisión del comercio de especímenes de animales declarados como producidos en cautiverio [Resolución Conf. 17.7 (Rev. CoP20)]</w:t>
      </w:r>
      <w:bookmarkEnd w:id="81"/>
      <w:bookmarkEnd w:id="82"/>
    </w:p>
    <w:p w:rsidRPr="00682E50" w:rsidR="00682E50" w:rsidP="00682E50" w:rsidRDefault="00682E50" w14:paraId="5DA585AD" w14:textId="77777777"/>
    <w:p w:rsidRPr="00682E50" w:rsidR="00682E50" w:rsidP="00682E50" w:rsidRDefault="00682E50" w14:paraId="2F9C7899" w14:textId="05DFE0BB">
      <w:pPr>
        <w:pStyle w:val="Heading1"/>
        <w:rPr>
          <w:rStyle w:val="Hyperlink"/>
          <w:rFonts w:ascii="Aptos" w:hAnsi="Aptos"/>
          <w:sz w:val="22"/>
          <w:szCs w:val="22"/>
        </w:rPr>
      </w:pPr>
      <w:bookmarkStart w:name="_36.1:_Overview_of" w:id="83"/>
      <w:bookmarkStart w:name="_Toc242564010" w:id="84"/>
      <w:bookmarkEnd w:id="83"/>
      <w:r>
        <w:rPr>
          <w:rFonts w:ascii="Aptos" w:hAnsi="Aptos"/>
          <w:sz w:val="22"/>
          <w:szCs w:val="22"/>
        </w:rPr>
        <w:t xml:space="preserve">36.1: </w:t>
      </w:r>
      <w:hyperlink r:id="rId41">
        <w:r w:rsidRPr="00682E50">
          <w:rPr>
            <w:rStyle w:val="Hyperlink"/>
            <w:rFonts w:ascii="Aptos" w:hAnsi="Aptos"/>
            <w:sz w:val="22"/>
            <w:szCs w:val="22"/>
          </w:rPr>
          <w:t xml:space="preserve">Resumen del examen del comercio de especímenes de animales declarados como producidos en cautiverio</w:t>
        </w:r>
        <w:bookmarkEnd w:id="84"/>
      </w:hyperlink>
    </w:p>
    <w:p w:rsidR="00682E50" w:rsidP="00682E50" w:rsidRDefault="00682E50" w14:paraId="331A3AD2" w14:textId="77777777">
      <w:pPr>
        <w:spacing w:line="240" w:lineRule="auto"/>
        <w:rPr>
          <w:rFonts w:ascii="Aptos" w:hAnsi="Aptos" w:eastAsia="Aptos" w:cs="Aptos"/>
          <w:color w:val="231F20"/>
          <w:lang w:val="en-US"/>
        </w:rPr>
      </w:pPr>
    </w:p>
    <w:p w:rsidR="00682E50" w:rsidP="00682E50" w:rsidRDefault="00682E50" w14:paraId="20CB58AE" w14:textId="5ABF932F">
      <w:pPr>
        <w:spacing w:line="240" w:lineRule="auto"/>
        <w:rPr>
          <w:rFonts w:ascii="Aptos" w:hAnsi="Aptos" w:eastAsia="Aptos" w:cs="Aptos"/>
          <w:color w:val="231F20"/>
          <w:lang w:val="en-US"/>
        </w:rPr>
      </w:pPr>
      <w:r w:rsidRPr="5403C073">
        <w:rPr>
          <w:rFonts w:ascii="Aptos" w:hAnsi="Aptos" w:eastAsia="Aptos" w:cs="Aptos"/>
          <w:color w:val="231F20"/>
          <w:lang w:val="en-US"/>
        </w:rPr>
        <w:t xml:space="preserve">Observamos la exportación por parte de Cuba de las siguientes especies, varias de las cuales son endémicas: </w:t>
      </w:r>
    </w:p>
    <w:p w:rsidRPr="00682E50" w:rsidR="00682E50" w:rsidP="00682E50" w:rsidRDefault="00682E50" w14:paraId="4EA1D01A" w14:textId="77777777">
      <w:pPr>
        <w:spacing w:line="240" w:lineRule="auto"/>
        <w:rPr>
          <w:rFonts w:ascii="Aptos" w:hAnsi="Aptos" w:eastAsia="Aptos" w:cs="Aptos"/>
          <w:color w:val="231F20"/>
          <w:lang w:val="en-US"/>
        </w:rPr>
      </w:pPr>
    </w:p>
    <w:p w:rsidRPr="00682E50" w:rsidR="00682E50" w:rsidP="00682E50" w:rsidRDefault="00682E50" w14:paraId="3415CF8C"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Agapornis fischeri </w:t>
      </w:r>
      <w:r w:rsidRPr="00682E50">
        <w:rPr>
          <w:rFonts w:ascii="Aptos" w:hAnsi="Aptos" w:eastAsia="Aptos" w:cs="Aptos"/>
          <w:color w:val="231F20"/>
          <w:lang w:val="en-US"/>
        </w:rPr>
        <w:t xml:space="preserve">(agapornis de Fischer), un loro de África Oriental</w:t>
      </w:r>
    </w:p>
    <w:p w:rsidRPr="00682E50" w:rsidR="00682E50" w:rsidP="00682E50" w:rsidRDefault="00682E50" w14:paraId="43C7FA83"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Aratinga </w:t>
      </w:r>
      <w:r w:rsidRPr="00682E50">
        <w:rPr>
          <w:rFonts w:ascii="Aptos" w:hAnsi="Aptos" w:eastAsia="Aptos" w:cs="Aptos"/>
          <w:i/>
          <w:iCs/>
          <w:color w:val="231F20"/>
          <w:lang w:val="en-US"/>
        </w:rPr>
        <w:t xml:space="preserve">solstitialis </w:t>
      </w:r>
      <w:r w:rsidRPr="00682E50">
        <w:rPr>
          <w:rFonts w:ascii="Aptos" w:hAnsi="Aptos" w:eastAsia="Aptos" w:cs="Aptos"/>
          <w:color w:val="231F20"/>
          <w:lang w:val="en-US"/>
        </w:rPr>
        <w:t xml:space="preserve">(conuro del sol), un loro nativo del noreste de Sudamérica </w:t>
      </w:r>
    </w:p>
    <w:p w:rsidRPr="00682E50" w:rsidR="00682E50" w:rsidP="00682E50" w:rsidRDefault="00682E50" w14:paraId="69E24675"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Neophema </w:t>
      </w:r>
      <w:r w:rsidRPr="00682E50">
        <w:rPr>
          <w:rFonts w:ascii="Aptos" w:hAnsi="Aptos" w:eastAsia="Aptos" w:cs="Aptos"/>
          <w:i/>
          <w:iCs/>
          <w:color w:val="231F20"/>
          <w:lang w:val="en-US"/>
        </w:rPr>
        <w:t xml:space="preserve">splendida </w:t>
      </w:r>
      <w:r w:rsidRPr="00682E50">
        <w:rPr>
          <w:rFonts w:ascii="Aptos" w:hAnsi="Aptos" w:eastAsia="Aptos" w:cs="Aptos"/>
          <w:color w:val="231F20"/>
          <w:lang w:val="en-US"/>
        </w:rPr>
        <w:t xml:space="preserve">(loro de pecho escarlata), nativo de Australia [endémico]</w:t>
      </w:r>
    </w:p>
    <w:p w:rsidRPr="00682E50" w:rsidR="00682E50" w:rsidP="00682E50" w:rsidRDefault="00682E50" w14:paraId="28B5F2A9"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Neopsephotus </w:t>
      </w:r>
      <w:r w:rsidRPr="00682E50">
        <w:rPr>
          <w:rFonts w:ascii="Aptos" w:hAnsi="Aptos" w:eastAsia="Aptos" w:cs="Aptos"/>
          <w:i/>
          <w:iCs/>
          <w:color w:val="231F20"/>
          <w:lang w:val="en-US"/>
        </w:rPr>
        <w:t xml:space="preserve">bourkii </w:t>
      </w:r>
      <w:r w:rsidRPr="00682E50">
        <w:rPr>
          <w:rFonts w:ascii="Aptos" w:hAnsi="Aptos" w:eastAsia="Aptos" w:cs="Aptos"/>
          <w:color w:val="231F20"/>
          <w:lang w:val="en-US"/>
        </w:rPr>
        <w:t xml:space="preserve">(loro de Bourke), originario de Australia [endémico]</w:t>
      </w:r>
    </w:p>
    <w:p w:rsidRPr="00682E50" w:rsidR="00682E50" w:rsidP="00682E50" w:rsidRDefault="00682E50" w14:paraId="672B1668"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Platycercus </w:t>
      </w:r>
      <w:r w:rsidRPr="00682E50">
        <w:rPr>
          <w:rFonts w:ascii="Aptos" w:hAnsi="Aptos" w:eastAsia="Aptos" w:cs="Aptos"/>
          <w:i/>
          <w:iCs/>
          <w:color w:val="231F20"/>
          <w:lang w:val="en-US"/>
        </w:rPr>
        <w:t xml:space="preserve">eximius </w:t>
      </w:r>
      <w:r w:rsidRPr="00682E50">
        <w:rPr>
          <w:rFonts w:ascii="Aptos" w:hAnsi="Aptos" w:eastAsia="Aptos" w:cs="Aptos"/>
          <w:color w:val="231F20"/>
          <w:lang w:val="en-US"/>
        </w:rPr>
        <w:t xml:space="preserve">(rosella oriental), originaria de Australia [endémica]</w:t>
      </w:r>
    </w:p>
    <w:p w:rsidRPr="00682E50" w:rsidR="00682E50" w:rsidP="00682E50" w:rsidRDefault="00682E50" w14:paraId="7B078BE3"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Psephotus </w:t>
      </w:r>
      <w:r w:rsidRPr="00682E50">
        <w:rPr>
          <w:rFonts w:ascii="Aptos" w:hAnsi="Aptos" w:eastAsia="Aptos" w:cs="Aptos"/>
          <w:i/>
          <w:iCs/>
          <w:color w:val="231F20"/>
          <w:lang w:val="en-US"/>
        </w:rPr>
        <w:t xml:space="preserve">haematonotus </w:t>
      </w:r>
      <w:r w:rsidRPr="00682E50">
        <w:rPr>
          <w:rFonts w:ascii="Aptos" w:hAnsi="Aptos" w:eastAsia="Aptos" w:cs="Aptos"/>
          <w:color w:val="231F20"/>
          <w:lang w:val="en-US"/>
        </w:rPr>
        <w:t xml:space="preserve">(loro de cola roja), originario de Australia [endémico]</w:t>
      </w:r>
    </w:p>
    <w:p w:rsidRPr="00682E50" w:rsidR="00682E50" w:rsidP="00682E50" w:rsidRDefault="00682E50" w14:paraId="6B8E8A2F" w14:textId="77777777">
      <w:pPr>
        <w:spacing w:line="240" w:lineRule="auto"/>
        <w:rPr>
          <w:rFonts w:ascii="Aptos" w:hAnsi="Aptos" w:eastAsia="Aptos" w:cs="Aptos"/>
          <w:color w:val="231F20"/>
          <w:lang w:val="en-US"/>
        </w:rPr>
      </w:pPr>
    </w:p>
    <w:p w:rsidRPr="00682E50" w:rsidR="00682E50" w:rsidP="00682E50" w:rsidRDefault="00682E50" w14:paraId="56581D8A" w14:textId="30B95A73">
      <w:pPr>
        <w:spacing w:line="240" w:lineRule="auto"/>
        <w:rPr>
          <w:rFonts w:ascii="Aptos" w:hAnsi="Aptos"/>
        </w:rPr>
      </w:pPr>
      <w:r w:rsidRPr="00682E50">
        <w:rPr>
          <w:rFonts w:ascii="Aptos" w:hAnsi="Aptos" w:eastAsia="Aptos" w:cs="Aptos"/>
          <w:color w:val="231F20"/>
          <w:lang w:val="en-US"/>
        </w:rPr>
        <w:t xml:space="preserve">Si bien </w:t>
      </w:r>
      <w:r w:rsidRPr="00682E50">
        <w:rPr>
          <w:rFonts w:ascii="Aptos" w:hAnsi="Aptos" w:eastAsia="Aptos" w:cs="Aptos"/>
          <w:i/>
          <w:iCs/>
          <w:color w:val="231F20"/>
          <w:lang w:val="en-US"/>
        </w:rPr>
        <w:t xml:space="preserve">algunas </w:t>
      </w:r>
      <w:r w:rsidRPr="00682E50">
        <w:rPr>
          <w:rFonts w:ascii="Aptos" w:hAnsi="Aptos" w:eastAsia="Aptos" w:cs="Aptos"/>
          <w:color w:val="231F20"/>
          <w:lang w:val="en-US"/>
        </w:rPr>
        <w:t xml:space="preserve">de estas especies (o parientes cercanos) se comercializan habitualmente en otras partes del mundo —lo que sugiere que algunas de ellas pueden reproducirse en cautiverio—, sigue siendo necesario garantizar que los ejemplares de la población fundadora se hayan obtenido legalmente del medio silvestre y que sus descendientes se hayan exportado legalmente a los centros de cría en cautiverio de Cuba. Recomendamos que el Comité de Especies (SC) solicite información adicional</w:t>
      </w:r>
      <w:r w:rsidRPr="00682E50">
        <w:rPr>
          <w:rFonts w:ascii="Aptos" w:hAnsi="Aptos" w:eastAsia="Aptos" w:cs="Aptos"/>
          <w:color w:val="231F20"/>
          <w:lang w:val="en-US"/>
        </w:rPr>
        <w:lastRenderedPageBreak/>
      </w:r>
      <w:r w:rsidRPr="00682E50">
        <w:rPr>
          <w:rFonts w:ascii="Aptos" w:hAnsi="Aptos" w:eastAsia="Aptos" w:cs="Aptos"/>
          <w:color w:val="231F20"/>
          <w:lang w:val="en-US"/>
        </w:rPr>
        <w:t xml:space="preserve"> a Cuba sobre la naturaleza de estas instalaciones, los orígenes genéticos de su población reproductora, el origen de la población fundadora y cualquier documentación relacionada con la importación. </w:t>
      </w:r>
    </w:p>
    <w:p w:rsidRPr="00682E50" w:rsidR="00682E50" w:rsidP="00682E50" w:rsidRDefault="00682E50" w14:paraId="0D7229B4" w14:textId="77777777">
      <w:pPr>
        <w:spacing w:line="240" w:lineRule="auto"/>
        <w:rPr>
          <w:rFonts w:ascii="Aptos" w:hAnsi="Aptos" w:eastAsia="Aptos" w:cs="Aptos"/>
          <w:b/>
          <w:bCs/>
          <w:color w:val="231F20"/>
        </w:rPr>
      </w:pPr>
    </w:p>
    <w:p w:rsidRPr="00682E50" w:rsidR="00682E50" w:rsidP="00682E50" w:rsidRDefault="00395EA8" w14:paraId="6FB68773" w14:textId="409EF181">
      <w:pPr>
        <w:pStyle w:val="Heading"/>
        <w:rPr>
          <w:color w:val="231F20"/>
        </w:rPr>
      </w:pPr>
      <w:r>
        <w:t xml:space="preserve">36.2: </w:t>
      </w:r>
      <w:hyperlink r:id="rId42">
        <w:r w:rsidRPr="00682E50" w:rsidR="00682E50">
          <w:rPr>
            <w:rStyle w:val="Hyperlink"/>
          </w:rPr>
          <w:t xml:space="preserve">Aplicación de las recomendaciones del Comité de Animales</w:t>
        </w:r>
      </w:hyperlink>
    </w:p>
    <w:p w:rsidR="00682E50" w:rsidP="00682E50" w:rsidRDefault="00682E50" w14:paraId="2A4F53E7" w14:textId="77777777">
      <w:pPr>
        <w:spacing w:line="240" w:lineRule="auto"/>
        <w:rPr>
          <w:rFonts w:ascii="Aptos" w:hAnsi="Aptos" w:eastAsia="Aptos" w:cs="Aptos"/>
          <w:lang w:val="en-US"/>
        </w:rPr>
      </w:pPr>
    </w:p>
    <w:p w:rsidR="00682E50" w:rsidP="00682E50" w:rsidRDefault="00682E50" w14:paraId="37C1C247" w14:textId="77777777">
      <w:pPr>
        <w:spacing w:line="240" w:lineRule="auto"/>
        <w:rPr>
          <w:rFonts w:ascii="Aptos" w:hAnsi="Aptos" w:eastAsia="Aptos" w:cs="Aptos"/>
          <w:lang w:val="en-US"/>
        </w:rPr>
      </w:pPr>
      <w:r w:rsidRPr="00682E50">
        <w:rPr>
          <w:rFonts w:ascii="Aptos" w:hAnsi="Aptos" w:eastAsia="Aptos" w:cs="Aptos"/>
          <w:lang w:val="en-US"/>
        </w:rPr>
        <w:t xml:space="preserve">Agradecemos la información detallada proporcionada por la Secretaría sobre los casos seleccionados por el Comité de Animales para la revisión del comercio de especímenes de animales de especies que, según se informa, se producen en cautiverio. Se trata de un tema importante, ya que se refiere directamente al cumplimiento del tratado de la CITES, en particular el Artículo IV. </w:t>
      </w:r>
    </w:p>
    <w:p w:rsidR="00682E50" w:rsidP="00682E50" w:rsidRDefault="00682E50" w14:paraId="7E57ED63" w14:textId="77777777">
      <w:pPr>
        <w:spacing w:line="240" w:lineRule="auto"/>
        <w:rPr>
          <w:rFonts w:ascii="Aptos" w:hAnsi="Aptos" w:eastAsia="Aptos" w:cs="Aptos"/>
          <w:lang w:val="en-US"/>
        </w:rPr>
      </w:pPr>
    </w:p>
    <w:p w:rsidR="00682E50" w:rsidP="00682E50" w:rsidRDefault="00682E50" w14:paraId="4877354C" w14:textId="1F46E8A6">
      <w:pPr>
        <w:spacing w:line="240" w:lineRule="auto"/>
        <w:rPr>
          <w:rFonts w:ascii="Aptos" w:hAnsi="Aptos" w:eastAsia="Aptos" w:cs="Aptos"/>
        </w:rPr>
      </w:pPr>
      <w:r w:rsidRPr="00682E50">
        <w:rPr>
          <w:rFonts w:ascii="Aptos" w:hAnsi="Aptos" w:eastAsia="Aptos" w:cs="Aptos"/>
          <w:lang w:val="en-US"/>
        </w:rPr>
        <w:t xml:space="preserve">En general, apoyamos las recomendaciones del Comité de Animales y de la Secretaría, tal como figuran en el documento, con las siguientes adiciones:  </w:t>
      </w:r>
    </w:p>
    <w:p w:rsidRPr="00682E50" w:rsidR="00682E50" w:rsidP="00682E50" w:rsidRDefault="00682E50" w14:paraId="02EDF94A" w14:textId="77777777">
      <w:pPr>
        <w:spacing w:line="240" w:lineRule="auto"/>
        <w:rPr>
          <w:rFonts w:ascii="Aptos" w:hAnsi="Aptos"/>
        </w:rPr>
      </w:pPr>
    </w:p>
    <w:p w:rsidRPr="00682E50" w:rsidR="00682E50" w:rsidP="00682E50" w:rsidRDefault="00682E50" w14:paraId="20447B74" w14:textId="77777777">
      <w:pPr>
        <w:pStyle w:val="ListParagraph"/>
        <w:numPr>
          <w:ilvl w:val="0"/>
          <w:numId w:val="10"/>
        </w:numPr>
        <w:spacing w:line="240" w:lineRule="auto"/>
        <w:ind w:start="720"/>
        <w:rPr>
          <w:rFonts w:ascii="Aptos" w:hAnsi="Aptos" w:eastAsia="Aptos" w:cs="Aptos"/>
          <w:lang w:val="en-US"/>
        </w:rPr>
      </w:pPr>
      <w:r w:rsidRPr="00682E50">
        <w:rPr>
          <w:rFonts w:ascii="Aptos" w:hAnsi="Aptos" w:eastAsia="Aptos" w:cs="Aptos"/>
          <w:lang w:val="en-US"/>
        </w:rPr>
        <w:t xml:space="preserve">En cuanto a </w:t>
      </w:r>
      <w:r w:rsidRPr="00682E50">
        <w:rPr>
          <w:rFonts w:ascii="Aptos" w:hAnsi="Aptos" w:eastAsia="Aptos" w:cs="Aptos"/>
          <w:i/>
          <w:iCs/>
          <w:lang w:val="en-US"/>
        </w:rPr>
        <w:t xml:space="preserve">Testudo </w:t>
      </w:r>
      <w:r w:rsidRPr="00682E50">
        <w:rPr>
          <w:rFonts w:ascii="Aptos" w:hAnsi="Aptos" w:eastAsia="Aptos" w:cs="Aptos"/>
          <w:i/>
          <w:iCs/>
          <w:lang w:val="en-US"/>
        </w:rPr>
        <w:t xml:space="preserve">graeca</w:t>
      </w:r>
      <w:r w:rsidRPr="00682E50">
        <w:rPr>
          <w:rFonts w:ascii="Aptos" w:hAnsi="Aptos" w:eastAsia="Aptos" w:cs="Aptos"/>
          <w:lang w:val="en-US"/>
        </w:rPr>
        <w:t xml:space="preserve">, la recomendación es excluir </w:t>
      </w:r>
      <w:r w:rsidRPr="00682E50">
        <w:rPr>
          <w:rFonts w:ascii="Aptos" w:hAnsi="Aptos" w:eastAsia="Aptos" w:cs="Aptos"/>
          <w:lang w:val="en-US"/>
        </w:rPr>
        <w:t xml:space="preserve">de la revisión a</w:t>
      </w:r>
      <w:r w:rsidRPr="00682E50">
        <w:rPr>
          <w:rFonts w:ascii="Aptos" w:hAnsi="Aptos" w:eastAsia="Aptos" w:cs="Aptos"/>
          <w:lang w:val="en-US"/>
        </w:rPr>
        <w:t xml:space="preserve"> </w:t>
      </w:r>
      <w:r w:rsidRPr="00682E50">
        <w:rPr>
          <w:rFonts w:ascii="Aptos" w:hAnsi="Aptos" w:eastAsia="Aptos" w:cs="Aptos"/>
          <w:i/>
          <w:iCs/>
          <w:lang w:val="en-US"/>
        </w:rPr>
        <w:t xml:space="preserve">los ejemplares </w:t>
      </w:r>
      <w:r w:rsidRPr="00682E50">
        <w:rPr>
          <w:rFonts w:ascii="Aptos" w:hAnsi="Aptos" w:eastAsia="Aptos" w:cs="Aptos"/>
          <w:lang w:val="en-US"/>
        </w:rPr>
        <w:t xml:space="preserve">de</w:t>
      </w:r>
      <w:r w:rsidRPr="00682E50">
        <w:rPr>
          <w:rFonts w:ascii="Aptos" w:hAnsi="Aptos" w:eastAsia="Aptos" w:cs="Aptos"/>
          <w:i/>
          <w:iCs/>
          <w:lang w:val="en-US"/>
        </w:rPr>
        <w:t xml:space="preserve"> Testudo </w:t>
      </w:r>
      <w:r w:rsidRPr="00682E50">
        <w:rPr>
          <w:rFonts w:ascii="Aptos" w:hAnsi="Aptos" w:eastAsia="Aptos" w:cs="Aptos"/>
          <w:i/>
          <w:iCs/>
          <w:lang w:val="en-US"/>
        </w:rPr>
        <w:t xml:space="preserve">graeca </w:t>
      </w:r>
      <w:r w:rsidRPr="00682E50">
        <w:rPr>
          <w:rFonts w:ascii="Aptos" w:hAnsi="Aptos" w:eastAsia="Aptos" w:cs="Aptos"/>
          <w:lang w:val="en-US"/>
        </w:rPr>
        <w:t xml:space="preserve">procedentes de Jordania y solicitar que Jordania no autorice la reanudación de las exportaciones comerciales de la especie declarada como criada en cautiverio sin informar primero a la Secretaría. Nos preocupa que se puedan exportar ejemplares de origen dudoso con solo informar a la Secretaría, y que pueda llevar demasiado tiempo alertar al Comité de Animales (CA), al Comité de Especies (CE) y a las Partes. Recomendamos, en cambio, que se le pida a Jordania que informe al Comité de Animales (CA) y a la Secretaría de su intención de exportar la especie, antes de que comiencen las exportaciones, y que el CA revise la situación.</w:t>
      </w:r>
    </w:p>
    <w:p w:rsidRPr="00682E50" w:rsidR="00682E50" w:rsidP="00682E50" w:rsidRDefault="00682E50" w14:paraId="7E40D89E" w14:textId="77777777">
      <w:pPr>
        <w:pStyle w:val="ListParagraph"/>
        <w:numPr>
          <w:ilvl w:val="0"/>
          <w:numId w:val="10"/>
        </w:numPr>
        <w:spacing w:line="240" w:lineRule="auto"/>
        <w:ind w:start="720"/>
        <w:rPr>
          <w:rFonts w:ascii="Aptos" w:hAnsi="Aptos" w:eastAsia="Aptos" w:cs="Aptos"/>
          <w:lang w:val="en-US"/>
        </w:rPr>
      </w:pPr>
      <w:r w:rsidRPr="00682E50">
        <w:rPr>
          <w:rFonts w:ascii="Aptos" w:hAnsi="Aptos" w:eastAsia="Aptos" w:cs="Aptos"/>
          <w:lang w:val="en-US"/>
        </w:rPr>
        <w:t xml:space="preserve">En cuanto a </w:t>
      </w:r>
      <w:r w:rsidRPr="00682E50">
        <w:rPr>
          <w:rFonts w:ascii="Aptos" w:hAnsi="Aptos" w:eastAsia="Aptos" w:cs="Aptos"/>
          <w:i/>
          <w:iCs/>
          <w:lang w:val="en-US"/>
        </w:rPr>
        <w:t xml:space="preserve">Testudo </w:t>
      </w:r>
      <w:r w:rsidRPr="00682E50">
        <w:rPr>
          <w:rFonts w:ascii="Aptos" w:hAnsi="Aptos" w:eastAsia="Aptos" w:cs="Aptos"/>
          <w:i/>
          <w:iCs/>
          <w:lang w:val="en-US"/>
        </w:rPr>
        <w:t xml:space="preserve">kleinmanni</w:t>
      </w:r>
      <w:r w:rsidRPr="00682E50">
        <w:rPr>
          <w:rFonts w:ascii="Aptos" w:hAnsi="Aptos" w:eastAsia="Aptos" w:cs="Aptos"/>
          <w:lang w:val="en-US"/>
        </w:rPr>
        <w:t xml:space="preserve">, observamos que a Egipto se le «invita» a mantener las cuotas de exportación cero para todas las fuentes, mientras que a la República Árabe Siria se le «solicita» que publique cuotas de exportación cero para todas las fuentes. Recomendamos utilizar «solicitar» en ambos casos, en aras de la coherencia.</w:t>
      </w:r>
    </w:p>
    <w:p w:rsidR="00682E50" w:rsidP="00682E50" w:rsidRDefault="00682E50" w14:paraId="18C3308B" w14:textId="77777777">
      <w:pPr>
        <w:spacing w:line="240" w:lineRule="auto"/>
        <w:rPr>
          <w:rFonts w:ascii="Aptos" w:hAnsi="Aptos" w:eastAsia="Aptos" w:cs="Aptos"/>
          <w:b/>
          <w:bCs/>
          <w:color w:val="231F20"/>
        </w:rPr>
      </w:pPr>
    </w:p>
    <w:p w:rsidRPr="00682E50" w:rsidR="00682E50" w:rsidP="00682E50" w:rsidRDefault="00682E50" w14:paraId="565F907A" w14:textId="77777777">
      <w:pPr>
        <w:spacing w:line="240" w:lineRule="auto"/>
        <w:rPr>
          <w:rFonts w:ascii="Aptos" w:hAnsi="Aptos" w:eastAsia="Aptos" w:cs="Aptos"/>
          <w:b/>
          <w:bCs/>
          <w:color w:val="231F20"/>
        </w:rPr>
      </w:pPr>
    </w:p>
    <w:p w:rsidRPr="00682E50" w:rsidR="00682E50" w:rsidP="00682E50" w:rsidRDefault="00682E50" w14:paraId="132A03D0" w14:textId="21CEE9C5">
      <w:pPr>
        <w:pStyle w:val="Heading1"/>
        <w:rPr>
          <w:rFonts w:ascii="Aptos" w:hAnsi="Aptos"/>
          <w:sz w:val="22"/>
          <w:szCs w:val="22"/>
        </w:rPr>
      </w:pPr>
      <w:bookmarkStart w:name="_37._Enforcement" w:id="85"/>
      <w:bookmarkStart w:name="_Enforcement_" w:id="86"/>
      <w:bookmarkStart w:name="_37._Enforcement_" w:id="87"/>
      <w:bookmarkStart w:name="_Toc242564011" w:id="88"/>
      <w:bookmarkEnd w:id="85"/>
      <w:r w:rsidRPr="00682E50">
        <w:rPr>
          <w:rFonts w:ascii="Aptos" w:hAnsi="Aptos"/>
          <w:sz w:val="22"/>
          <w:szCs w:val="22"/>
        </w:rPr>
        <w:t xml:space="preserve">37</w:t>
      </w:r>
      <w:r w:rsidR="00395EA8">
        <w:rPr>
          <w:rFonts w:ascii="Aptos" w:hAnsi="Aptos"/>
          <w:sz w:val="22"/>
          <w:szCs w:val="22"/>
        </w:rPr>
        <w:t xml:space="preserve">:</w:t>
      </w:r>
      <w:bookmarkStart w:name="Enforcement" w:id="89"/>
      <w:r w:rsidRPr="00682E50">
        <w:rPr>
          <w:rFonts w:ascii="Aptos" w:hAnsi="Aptos"/>
          <w:sz w:val="22"/>
          <w:szCs w:val="22"/>
        </w:rPr>
        <w:t xml:space="preserve"> Aplicación de la ley</w:t>
      </w:r>
      <w:bookmarkEnd w:id="86"/>
      <w:bookmarkEnd w:id="87"/>
      <w:bookmarkEnd w:id="88"/>
      <w:bookmarkEnd w:id="89"/>
      <w:r w:rsidRPr="00682E50">
        <w:rPr>
          <w:rFonts w:ascii="Aptos" w:hAnsi="Aptos"/>
          <w:sz w:val="22"/>
          <w:szCs w:val="22"/>
        </w:rPr>
        <w:t xml:space="preserve"> </w:t>
      </w:r>
    </w:p>
    <w:p w:rsidR="00682E50" w:rsidP="00682E50" w:rsidRDefault="00682E50" w14:paraId="40685296" w14:textId="77777777">
      <w:pPr>
        <w:pStyle w:val="Heading1"/>
        <w:rPr>
          <w:rFonts w:ascii="Aptos" w:hAnsi="Aptos"/>
          <w:sz w:val="22"/>
          <w:szCs w:val="22"/>
        </w:rPr>
      </w:pPr>
      <w:bookmarkStart w:name="_37.1._Enforcement_matters" w:id="90"/>
      <w:bookmarkStart w:name="_37.2._International_Consortium" w:id="91"/>
      <w:bookmarkEnd w:id="90"/>
      <w:bookmarkEnd w:id="91"/>
    </w:p>
    <w:p w:rsidRPr="00682E50" w:rsidR="00682E50" w:rsidP="00682E50" w:rsidRDefault="00395EA8" w14:paraId="4DE108B2" w14:textId="32B0CB28">
      <w:pPr>
        <w:pStyle w:val="Heading1"/>
        <w:rPr>
          <w:rFonts w:ascii="Aptos" w:hAnsi="Aptos"/>
          <w:sz w:val="22"/>
          <w:szCs w:val="22"/>
        </w:rPr>
      </w:pPr>
      <w:bookmarkStart w:name="_37.2._International_Consortium_1" w:id="92"/>
      <w:bookmarkStart w:name="_Toc242564012" w:id="93"/>
      <w:bookmarkEnd w:id="92"/>
      <w:r>
        <w:rPr>
          <w:rFonts w:ascii="Aptos" w:hAnsi="Aptos"/>
          <w:sz w:val="22"/>
          <w:szCs w:val="22"/>
        </w:rPr>
        <w:t xml:space="preserve">37.2:</w:t>
      </w:r>
      <w:hyperlink w:history="1" r:id="rId43">
        <w:bookmarkStart w:name="___2._International" w:id="94"/>
        <w:r w:rsidRPr="00682E50" w:rsidR="00682E50">
          <w:rPr>
            <w:rStyle w:val="Hyperlink"/>
            <w:rFonts w:ascii="Aptos" w:hAnsi="Aptos"/>
            <w:sz w:val="22"/>
            <w:szCs w:val="22"/>
          </w:rPr>
          <w:t xml:space="preserve"> Consorcio Internacional para la Lucha contra los Delitos contra la Vida Silvestre</w:t>
        </w:r>
        <w:bookmarkEnd w:id="93"/>
        <w:bookmarkEnd w:id="94"/>
      </w:hyperlink>
      <w:r w:rsidRPr="00682E50" w:rsidR="00682E50">
        <w:rPr>
          <w:rFonts w:ascii="Aptos" w:hAnsi="Aptos"/>
          <w:sz w:val="22"/>
          <w:szCs w:val="22"/>
        </w:rPr>
        <w:t xml:space="preserve"> </w:t>
      </w:r>
    </w:p>
    <w:p w:rsidR="00682E50" w:rsidP="00682E50" w:rsidRDefault="00682E50" w14:paraId="1CFA2F42" w14:textId="77777777">
      <w:pPr>
        <w:spacing w:line="240" w:lineRule="auto"/>
        <w:rPr>
          <w:rFonts w:ascii="Aptos" w:hAnsi="Aptos" w:eastAsia="Aptos" w:cs="Aptos"/>
          <w:lang w:val="en-US"/>
        </w:rPr>
      </w:pPr>
    </w:p>
    <w:p w:rsidRPr="00682E50" w:rsidR="00682E50" w:rsidP="00682E50" w:rsidRDefault="00682E50" w14:paraId="4D176F1A" w14:textId="2F02E439">
      <w:pPr>
        <w:spacing w:line="240" w:lineRule="auto"/>
        <w:rPr>
          <w:rFonts w:ascii="Aptos" w:hAnsi="Aptos" w:eastAsia="Aptos" w:cs="Aptos"/>
          <w:lang w:val="en-US"/>
        </w:rPr>
      </w:pPr>
      <w:r w:rsidRPr="00682E50">
        <w:rPr>
          <w:rFonts w:ascii="Aptos" w:hAnsi="Aptos" w:eastAsia="Aptos" w:cs="Aptos"/>
          <w:lang w:val="en-US"/>
        </w:rPr>
        <w:t xml:space="preserve">La WCS toma nota del documento elaborado por la Secretaría en colaboración con los socios del ICCWC y acoge con satisfacción la actualización sobre las actividades realizadas por el ICCWC. La WCS colabora con varios socios del ICCWC a través de sus programas nacionales y ha apoyado los esfuerzos para implementar el Marco de Indicadores en varios de ellos, incluida la República Democrática Popular Lao, donde recientemente se completó una evaluación actualizada del Marco de Indicadores en el marco del proyecto GUARD de la UE.</w:t>
      </w:r>
    </w:p>
    <w:p w:rsidRPr="00682E50" w:rsidR="00682E50" w:rsidP="00682E50" w:rsidRDefault="00682E50" w14:paraId="170E1B81" w14:textId="77777777">
      <w:pPr>
        <w:spacing w:line="240" w:lineRule="auto"/>
        <w:rPr>
          <w:rFonts w:ascii="Aptos" w:hAnsi="Aptos" w:eastAsia="Aptos" w:cs="Aptos"/>
        </w:rPr>
      </w:pPr>
      <w:bookmarkStart w:name="_37.3._Wildlife_crime" w:id="95"/>
      <w:bookmarkEnd w:id="95"/>
    </w:p>
    <w:p w:rsidRPr="00682E50" w:rsidR="00682E50" w:rsidP="00682E50" w:rsidRDefault="00395EA8" w14:paraId="1341DC4A" w14:textId="4DC44903">
      <w:pPr>
        <w:pStyle w:val="Heading1"/>
        <w:rPr>
          <w:rFonts w:ascii="Aptos" w:hAnsi="Aptos"/>
          <w:sz w:val="22"/>
          <w:szCs w:val="22"/>
        </w:rPr>
      </w:pPr>
      <w:bookmarkStart w:name="_37.3_Wildlife_crime" w:id="96"/>
      <w:bookmarkStart w:name="_Toc242564013" w:id="97"/>
      <w:bookmarkEnd w:id="96"/>
      <w:r>
        <w:rPr>
          <w:rFonts w:ascii="Aptos" w:hAnsi="Aptos"/>
          <w:sz w:val="22"/>
          <w:szCs w:val="22"/>
        </w:rPr>
        <w:t xml:space="preserve">37.3:</w:t>
      </w:r>
      <w:hyperlink r:id="rId44">
        <w:bookmarkStart w:name="___3._Wildlife" w:id="98"/>
        <w:r w:rsidRPr="00682E50" w:rsidR="00682E50">
          <w:rPr>
            <w:rStyle w:val="Hyperlink"/>
            <w:rFonts w:ascii="Aptos" w:hAnsi="Aptos"/>
            <w:sz w:val="22"/>
            <w:szCs w:val="22"/>
          </w:rPr>
          <w:t xml:space="preserve"> Delitos contra la vida silvestre vinculados a Internet (Decisión 20.62)</w:t>
        </w:r>
        <w:bookmarkEnd w:id="97"/>
        <w:bookmarkEnd w:id="98"/>
      </w:hyperlink>
      <w:r w:rsidRPr="00682E50" w:rsidR="00682E50">
        <w:rPr>
          <w:rFonts w:ascii="Aptos" w:hAnsi="Aptos"/>
          <w:sz w:val="22"/>
          <w:szCs w:val="22"/>
        </w:rPr>
        <w:t xml:space="preserve"> </w:t>
      </w:r>
    </w:p>
    <w:p w:rsidR="00682E50" w:rsidP="00682E50" w:rsidRDefault="00682E50" w14:paraId="5463045A" w14:textId="77777777">
      <w:pPr>
        <w:spacing w:line="240" w:lineRule="auto"/>
        <w:rPr>
          <w:rFonts w:ascii="Aptos" w:hAnsi="Aptos" w:eastAsia="Aptos" w:cs="Aptos"/>
          <w:lang w:val="en-US"/>
        </w:rPr>
      </w:pPr>
    </w:p>
    <w:p w:rsidRPr="00682E50" w:rsidR="00682E50" w:rsidP="00682E50" w:rsidRDefault="00682E50" w14:paraId="60ACADBD" w14:textId="44F3B491">
      <w:pPr>
        <w:spacing w:line="240" w:lineRule="auto"/>
        <w:rPr>
          <w:rFonts w:ascii="Aptos" w:hAnsi="Aptos" w:eastAsia="Aptos" w:cs="Aptos"/>
        </w:rPr>
      </w:pPr>
      <w:r w:rsidRPr="00682E50">
        <w:rPr>
          <w:rFonts w:ascii="Aptos" w:hAnsi="Aptos" w:eastAsia="Aptos" w:cs="Aptos"/>
          <w:lang w:val="en-US"/>
        </w:rPr>
        <w:t xml:space="preserve">WCS acoge con satisfacción este documento y la mayor atención prestada al papel de las plataformas en línea en los delitos contra la vida silvestre. Observamos que algunas de las recomendaciones clave del informe adjunto no se reflejan en las enmiendas propuestas a la Resolución Conf. 11.3 (Rev. CoP20) y, por lo tanto, alentamos al Comité Permanente a reforzar los párrafos b) y h) de la siguiente manera: </w:t>
      </w:r>
    </w:p>
    <w:p w:rsidRPr="00682E50" w:rsidR="00682E50" w:rsidP="00682E50" w:rsidRDefault="00682E50" w14:paraId="5B9227F7" w14:textId="77777777">
      <w:pPr>
        <w:spacing w:line="240" w:lineRule="auto"/>
        <w:rPr>
          <w:rFonts w:ascii="Aptos" w:hAnsi="Aptos" w:eastAsia="Aptos" w:cs="Aptos"/>
          <w:lang w:val="en-US"/>
        </w:rPr>
      </w:pPr>
      <w:bookmarkStart w:name="_38._Great_apes" w:id="99"/>
      <w:bookmarkStart w:name="_Great_apes_(Hominidae" w:id="100"/>
      <w:bookmarkEnd w:id="99"/>
    </w:p>
    <w:p w:rsidRPr="00682E50" w:rsidR="00682E50" w:rsidP="00682E50" w:rsidRDefault="00682E50" w14:paraId="111415AF" w14:textId="77777777">
      <w:pPr>
        <w:spacing w:line="240" w:lineRule="auto"/>
        <w:ind w:start="720"/>
        <w:rPr>
          <w:rFonts w:ascii="Aptos" w:hAnsi="Aptos" w:eastAsia="Aptos" w:cs="Aptos"/>
          <w:i/>
          <w:iCs/>
          <w:lang w:val="en-US"/>
        </w:rPr>
      </w:pPr>
      <w:r w:rsidRPr="00682E50">
        <w:rPr>
          <w:rFonts w:ascii="Aptos" w:hAnsi="Aptos" w:eastAsia="Aptos" w:cs="Aptos"/>
          <w:i/>
          <w:iCs/>
          <w:lang w:val="en-US"/>
        </w:rPr>
        <w:t xml:space="preserve">b) cuando aún no se haya hecho, revisar y modificar la legislación nacional para garantizar que contemple disposiciones para la investigación y el enjuiciamiento efectivos de los delitos contra la vida silvestre vinculados a Internet</w:t>
      </w:r>
      <w:r w:rsidRPr="00682E50">
        <w:rPr>
          <w:rFonts w:ascii="Aptos" w:hAnsi="Aptos" w:eastAsia="Aptos" w:cs="Aptos"/>
          <w:i/>
          <w:iCs/>
          <w:color w:val="C00000"/>
          <w:u w:val="single"/>
          <w:lang w:val="en-US"/>
        </w:rPr>
        <w:t xml:space="preserve">, </w:t>
      </w:r>
      <w:r w:rsidRPr="00682E50">
        <w:rPr>
          <w:rFonts w:ascii="Aptos" w:hAnsi="Aptos" w:eastAsia="Aptos" w:cs="Aptos"/>
          <w:b/>
          <w:bCs/>
          <w:i/>
          <w:iCs/>
          <w:color w:val="C00000"/>
          <w:u w:val="single"/>
          <w:lang w:val="en-US"/>
        </w:rPr>
        <w:t xml:space="preserve">incluido el establecimiento de la responsabilidad de las plataformas en línea que no supervisen ni denuncien contenidos ilícitos</w:t>
      </w:r>
      <w:r w:rsidRPr="00682E50">
        <w:rPr>
          <w:rFonts w:ascii="Aptos" w:hAnsi="Aptos" w:eastAsia="Aptos" w:cs="Aptos"/>
          <w:i/>
          <w:iCs/>
          <w:color w:val="C00000"/>
          <w:u w:val="single"/>
          <w:lang w:val="en-US"/>
        </w:rPr>
        <w:t xml:space="preserve">, </w:t>
      </w:r>
      <w:r w:rsidRPr="00682E50">
        <w:rPr>
          <w:rFonts w:ascii="Aptos" w:hAnsi="Aptos" w:eastAsia="Aptos" w:cs="Aptos"/>
          <w:i/>
          <w:iCs/>
          <w:lang w:val="en-US"/>
        </w:rPr>
        <w:t xml:space="preserve">así como la integración de investigaciones de delitos financieros relacionados con estos delitos, cuando corresponda; </w:t>
      </w:r>
    </w:p>
    <w:p w:rsidRPr="00682E50" w:rsidR="00682E50" w:rsidP="00682E50" w:rsidRDefault="00682E50" w14:paraId="4A90A414" w14:textId="77777777">
      <w:pPr>
        <w:spacing w:line="240" w:lineRule="auto"/>
        <w:ind w:start="720"/>
        <w:rPr>
          <w:rFonts w:ascii="Aptos" w:hAnsi="Aptos" w:eastAsia="Aptos" w:cs="Aptos"/>
          <w:i/>
          <w:iCs/>
          <w:lang w:val="en-US"/>
        </w:rPr>
      </w:pPr>
      <w:r w:rsidRPr="00682E50">
        <w:rPr>
          <w:rFonts w:ascii="Aptos" w:hAnsi="Aptos" w:eastAsia="Aptos" w:cs="Aptos"/>
          <w:i/>
          <w:iCs/>
          <w:lang w:val="en-US"/>
        </w:rPr>
        <w:t xml:space="preserve">(...)</w:t>
      </w:r>
    </w:p>
    <w:p w:rsidRPr="00682E50" w:rsidR="00682E50" w:rsidP="00682E50" w:rsidRDefault="00682E50" w14:paraId="29F37460" w14:textId="77777777">
      <w:pPr>
        <w:spacing w:line="240" w:lineRule="auto"/>
        <w:ind w:start="720"/>
        <w:rPr>
          <w:rFonts w:ascii="Aptos" w:hAnsi="Aptos" w:eastAsia="Aptos" w:cs="Aptos"/>
          <w:i/>
          <w:iCs/>
          <w:lang w:val="en-US"/>
        </w:rPr>
      </w:pPr>
      <w:r w:rsidRPr="00682E50">
        <w:rPr>
          <w:rFonts w:ascii="Aptos" w:hAnsi="Aptos" w:eastAsia="Aptos" w:cs="Aptos"/>
          <w:i/>
          <w:iCs/>
          <w:lang w:val="en-US"/>
        </w:rPr>
        <w:lastRenderedPageBreak/>
      </w:r>
      <w:r w:rsidRPr="00682E50">
        <w:rPr>
          <w:rFonts w:ascii="Aptos" w:hAnsi="Aptos" w:eastAsia="Aptos" w:cs="Aptos"/>
          <w:i/>
          <w:iCs/>
          <w:lang w:val="en-US"/>
        </w:rPr>
        <w:t xml:space="preserve">h) involucrar a las plataformas en línea para que: </w:t>
      </w:r>
    </w:p>
    <w:p w:rsidRPr="00682E50" w:rsidR="00682E50" w:rsidP="00682E50" w:rsidRDefault="00682E50" w14:paraId="7BC449EF"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w:t>
      </w:r>
      <w:r w:rsidRPr="00682E50">
        <w:rPr>
          <w:rFonts w:ascii="Aptos" w:hAnsi="Aptos" w:eastAsia="Aptos" w:cs="Aptos"/>
          <w:i/>
          <w:iCs/>
          <w:lang w:val="en-US"/>
        </w:rPr>
        <w:t xml:space="preserve">) introduzcan y publiquen políticas para abordar y prevenir el uso de dichas plataformas para el comercio ilegal de vida silvestre, incluyendo medidas para garantizar el cumplimiento de dichas políticas; </w:t>
      </w:r>
    </w:p>
    <w:p w:rsidRPr="00682E50" w:rsidR="00682E50" w:rsidP="00682E50" w:rsidRDefault="00682E50" w14:paraId="34554578"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ii) garantizar que dichas políticas se presenten de manera clara y visible; y </w:t>
      </w:r>
    </w:p>
    <w:p w:rsidRPr="00682E50" w:rsidR="00682E50" w:rsidP="00682E50" w:rsidRDefault="00682E50" w14:paraId="4656D8CC"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iii) </w:t>
      </w:r>
      <w:r w:rsidRPr="00682E50">
        <w:rPr>
          <w:rFonts w:ascii="Aptos" w:hAnsi="Aptos" w:eastAsia="Aptos" w:cs="Aptos"/>
          <w:i/>
          <w:iCs/>
          <w:lang w:val="en-US"/>
        </w:rPr>
        <w:t xml:space="preserve">exijan </w:t>
      </w:r>
      <w:r w:rsidRPr="00682E50">
        <w:rPr>
          <w:rFonts w:ascii="Aptos" w:hAnsi="Aptos" w:eastAsia="Aptos" w:cs="Aptos"/>
          <w:b/>
          <w:bCs/>
          <w:i/>
          <w:iCs/>
          <w:color w:val="C00000"/>
          <w:u w:val="single"/>
          <w:lang w:val="en-US"/>
        </w:rPr>
        <w:t xml:space="preserve">que todas las especies incluidas en la CITES muestren un aviso claro que informe a los usuarios de que el comercio de estas especies está regulado y puede requerir un permiso</w:t>
      </w:r>
      <w:r w:rsidRPr="00682E50">
        <w:rPr>
          <w:rFonts w:ascii="Aptos" w:hAnsi="Aptos" w:eastAsia="Aptos" w:cs="Aptos"/>
          <w:i/>
          <w:iCs/>
          <w:strike/>
          <w:color w:val="C00000"/>
          <w:lang w:val="en-US"/>
        </w:rPr>
        <w:t xml:space="preserve">; informen a sus usuarios sobre los delitos contra la vida silvestre relacionados con Internet</w:t>
      </w:r>
      <w:r w:rsidRPr="00682E50">
        <w:rPr>
          <w:rFonts w:ascii="Aptos" w:hAnsi="Aptos" w:eastAsia="Aptos" w:cs="Aptos"/>
          <w:i/>
          <w:iCs/>
          <w:color w:val="C00000"/>
          <w:lang w:val="en-US"/>
        </w:rPr>
        <w:t xml:space="preserve">, </w:t>
      </w:r>
      <w:r w:rsidRPr="00682E50">
        <w:rPr>
          <w:rFonts w:ascii="Aptos" w:hAnsi="Aptos" w:eastAsia="Aptos" w:cs="Aptos"/>
          <w:b/>
          <w:bCs/>
          <w:i/>
          <w:iCs/>
          <w:color w:val="C00000"/>
          <w:u w:val="single"/>
          <w:lang w:val="en-US"/>
        </w:rPr>
        <w:t xml:space="preserve">incluso </w:t>
      </w:r>
      <w:r w:rsidRPr="00682E50">
        <w:rPr>
          <w:rFonts w:ascii="Aptos" w:hAnsi="Aptos" w:eastAsia="Aptos" w:cs="Aptos"/>
          <w:i/>
          <w:iCs/>
          <w:lang w:val="en-US"/>
        </w:rPr>
        <w:t xml:space="preserve">mediante el uso de alertas específicas y otras tecnologías para dar a conocer a los usuarios las leyes pertinentes y las políticas del sitio web; y </w:t>
      </w:r>
    </w:p>
    <w:p w:rsidRPr="00682E50" w:rsidR="00682E50" w:rsidP="00682E50" w:rsidRDefault="00682E50" w14:paraId="0CC7D989"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iv) fortalecer la cooperación con las autoridades nacionales encargadas de hacer cumplir la ley para prevenir, detectar y desarticular los delitos contra la vida silvestre vinculados a Internet, de conformidad con la legislación nacional pertinente;</w:t>
      </w:r>
    </w:p>
    <w:p w:rsidRPr="00682E50" w:rsidR="00682E50" w:rsidP="00682E50" w:rsidRDefault="00682E50" w14:paraId="69F124EC" w14:textId="77777777">
      <w:pPr>
        <w:spacing w:line="240" w:lineRule="auto"/>
        <w:rPr>
          <w:rFonts w:ascii="Aptos" w:hAnsi="Aptos" w:eastAsia="Aptos" w:cs="Aptos"/>
          <w:lang w:val="en-US"/>
        </w:rPr>
      </w:pPr>
    </w:p>
    <w:p w:rsidRPr="00682E50" w:rsidR="00682E50" w:rsidP="00682E50" w:rsidRDefault="00682E50" w14:paraId="63226EDD" w14:textId="5C8C25F0">
      <w:pPr>
        <w:spacing w:line="240" w:lineRule="auto"/>
        <w:rPr>
          <w:rFonts w:ascii="Aptos" w:hAnsi="Aptos" w:eastAsia="Aptos" w:cs="Aptos"/>
          <w:lang w:val="en-US"/>
        </w:rPr>
      </w:pPr>
      <w:r w:rsidRPr="5403C073">
        <w:rPr>
          <w:rFonts w:ascii="Aptos" w:hAnsi="Aptos" w:eastAsia="Aptos" w:cs="Aptos"/>
          <w:lang w:val="en-US"/>
        </w:rPr>
        <w:t xml:space="preserve">Estas modificaciones reflejan las propias recomendaciones del informe adjunto, </w:t>
      </w:r>
      <w:r w:rsidRPr="5403C073" w:rsidR="0370482D">
        <w:rPr>
          <w:rFonts w:ascii="Aptos" w:hAnsi="Aptos" w:eastAsia="Aptos" w:cs="Aptos"/>
          <w:lang w:val="en-US"/>
        </w:rPr>
        <w:t xml:space="preserve">en </w:t>
      </w:r>
      <w:r w:rsidRPr="5403C073">
        <w:rPr>
          <w:rFonts w:ascii="Aptos" w:hAnsi="Aptos" w:eastAsia="Aptos" w:cs="Aptos"/>
          <w:lang w:val="en-US"/>
        </w:rPr>
        <w:t xml:space="preserve">las páginas 56 y 57 del Doc. 37.3.</w:t>
      </w:r>
    </w:p>
    <w:bookmarkEnd w:id="100"/>
    <w:p w:rsidR="00682E50" w:rsidP="00682E50" w:rsidRDefault="00682E50" w14:paraId="3B03FB2A" w14:textId="77777777">
      <w:pPr>
        <w:pStyle w:val="Heading1"/>
        <w:rPr>
          <w:rFonts w:ascii="Aptos" w:hAnsi="Aptos"/>
          <w:sz w:val="22"/>
          <w:szCs w:val="22"/>
        </w:rPr>
      </w:pPr>
    </w:p>
    <w:p w:rsidRPr="00682E50" w:rsidR="00682E50" w:rsidP="00682E50" w:rsidRDefault="00682E50" w14:paraId="52719DA7" w14:textId="77777777"/>
    <w:p w:rsidRPr="00682E50" w:rsidR="00682E50" w:rsidP="00682E50" w:rsidRDefault="00682E50" w14:paraId="22C73CCC" w14:textId="594C5DC0">
      <w:pPr>
        <w:pStyle w:val="Heading1"/>
        <w:rPr>
          <w:rFonts w:ascii="Aptos" w:hAnsi="Aptos"/>
          <w:sz w:val="22"/>
          <w:szCs w:val="22"/>
        </w:rPr>
      </w:pPr>
      <w:bookmarkStart w:name="_39._Rhinoceroses_(Rhinocerotidae" w:id="101"/>
      <w:bookmarkStart w:name="_Toc242564014" w:id="102"/>
      <w:bookmarkEnd w:id="101"/>
      <w:r>
        <w:rPr>
          <w:rFonts w:ascii="Aptos" w:hAnsi="Aptos"/>
          <w:sz w:val="22"/>
          <w:szCs w:val="22"/>
        </w:rPr>
        <w:t xml:space="preserve">39</w:t>
      </w:r>
      <w:r w:rsidR="00395EA8">
        <w:rPr>
          <w:rFonts w:ascii="Aptos" w:hAnsi="Aptos"/>
          <w:sz w:val="22"/>
          <w:szCs w:val="22"/>
        </w:rPr>
        <w:t xml:space="preserve">: </w:t>
      </w:r>
      <w:hyperlink r:id="rId45">
        <w:r w:rsidRPr="00682E50">
          <w:rPr>
            <w:rStyle w:val="Hyperlink"/>
            <w:rFonts w:ascii="Aptos" w:hAnsi="Aptos"/>
            <w:sz w:val="22"/>
            <w:szCs w:val="22"/>
          </w:rPr>
          <w:t xml:space="preserve">Rinocerontes (</w:t>
        </w:r>
        <w:r w:rsidRPr="00682E50">
          <w:rPr>
            <w:rStyle w:val="Hyperlink"/>
            <w:rFonts w:ascii="Aptos" w:hAnsi="Aptos"/>
            <w:sz w:val="22"/>
            <w:szCs w:val="22"/>
          </w:rPr>
          <w:t xml:space="preserve">Rhinocerotidae </w:t>
        </w:r>
        <w:r w:rsidRPr="00682E50">
          <w:rPr>
            <w:rStyle w:val="Hyperlink"/>
            <w:rFonts w:ascii="Aptos" w:hAnsi="Aptos"/>
            <w:sz w:val="22"/>
            <w:szCs w:val="22"/>
          </w:rPr>
          <w:t xml:space="preserve">spp.) (Decisión 20.84)</w:t>
        </w:r>
        <w:bookmarkEnd w:id="102"/>
      </w:hyperlink>
    </w:p>
    <w:p w:rsidR="00682E50" w:rsidP="00682E50" w:rsidRDefault="00682E50" w14:paraId="170F2C93" w14:textId="77777777">
      <w:pPr>
        <w:spacing w:line="240" w:lineRule="auto"/>
        <w:rPr>
          <w:rFonts w:ascii="Aptos" w:hAnsi="Aptos" w:eastAsia="Aptos" w:cs="Aptos"/>
          <w:lang w:val="en-US"/>
        </w:rPr>
      </w:pPr>
    </w:p>
    <w:p w:rsidRPr="00682E50" w:rsidR="00682E50" w:rsidP="00682E50" w:rsidRDefault="00682E50" w14:paraId="50741CF9" w14:textId="2900AD5E">
      <w:pPr>
        <w:spacing w:line="240" w:lineRule="auto"/>
        <w:rPr>
          <w:rFonts w:ascii="Aptos" w:hAnsi="Aptos" w:eastAsia="Aptos" w:cs="Aptos"/>
          <w:lang w:val="en-US"/>
        </w:rPr>
      </w:pPr>
      <w:r w:rsidRPr="5403C073">
        <w:rPr>
          <w:rFonts w:ascii="Aptos" w:hAnsi="Aptos" w:eastAsia="Aptos" w:cs="Aptos"/>
          <w:lang w:val="en-US"/>
        </w:rPr>
        <w:t xml:space="preserve">WCS acoge con satisfacción este documento y respalda las </w:t>
      </w:r>
      <w:r w:rsidRPr="5403C073">
        <w:rPr>
          <w:rFonts w:ascii="Aptos" w:hAnsi="Aptos" w:eastAsia="Aptos" w:cs="Aptos"/>
          <w:lang w:val="en-US"/>
        </w:rPr>
        <w:t xml:space="preserve">recomendaciones que en él se incluyen. WCS, al igual que la Secretaría, está preocupada por las respuestas limitadas recibidas de las Partes, especialmente a la luz de las recientes incautaciones de cuerno de rinoceronte y las amenazas constantes que plantea el comercio ilegal de cuerno de rinoceronte, las cuales siguen socavando los exitosos esfuerzos de conservación de estas especies. La escasa presentación de informes implica que el documento no reconoce el problema actual del comercio hacia Partes que no se habían mencionado anteriormente en el documento. Dada la escasa cantidad de respuestas recibidas, incluso de Partes reconocidas como lugares de origen, tránsito y destino del cuerno de rinoceronte, instamos una vez más a que se establezcan requisitos de presentación de informes con plazos específicos para los países afectados por el comercio ilegal de rinocerontes.</w:t>
      </w:r>
    </w:p>
    <w:p w:rsidR="00682E50" w:rsidP="00682E50" w:rsidRDefault="00682E50" w14:paraId="11886582" w14:textId="77777777">
      <w:pPr>
        <w:spacing w:line="240" w:lineRule="auto"/>
        <w:rPr>
          <w:rFonts w:ascii="Aptos" w:hAnsi="Aptos" w:eastAsia="Aptos" w:cs="Aptos"/>
        </w:rPr>
      </w:pPr>
    </w:p>
    <w:p w:rsidRPr="00682E50" w:rsidR="00682E50" w:rsidP="00682E50" w:rsidRDefault="00682E50" w14:paraId="67781CB9" w14:textId="77777777">
      <w:pPr>
        <w:spacing w:line="240" w:lineRule="auto"/>
        <w:rPr>
          <w:rFonts w:ascii="Aptos" w:hAnsi="Aptos" w:eastAsia="Aptos" w:cs="Aptos"/>
        </w:rPr>
      </w:pPr>
    </w:p>
    <w:p w:rsidRPr="00682E50" w:rsidR="00682E50" w:rsidP="00682E50" w:rsidRDefault="00682E50" w14:paraId="38AAF907" w14:textId="0A8DD718">
      <w:pPr>
        <w:pStyle w:val="Heading1"/>
        <w:rPr>
          <w:rFonts w:ascii="Aptos" w:hAnsi="Aptos"/>
          <w:sz w:val="22"/>
          <w:szCs w:val="22"/>
        </w:rPr>
      </w:pPr>
      <w:bookmarkStart w:name="_40._Tortoises_and" w:id="103"/>
      <w:bookmarkStart w:name="_Tortoises_and_freshwater" w:id="104"/>
      <w:bookmarkStart w:name="_Toc242564015" w:id="105"/>
      <w:bookmarkEnd w:id="103"/>
      <w:r w:rsidRPr="00682E50">
        <w:rPr>
          <w:rFonts w:ascii="Aptos" w:hAnsi="Aptos"/>
          <w:sz w:val="22"/>
          <w:szCs w:val="22"/>
        </w:rPr>
        <w:t xml:space="preserve">40</w:t>
      </w:r>
      <w:r w:rsidR="00395EA8">
        <w:rPr>
          <w:rFonts w:ascii="Aptos" w:hAnsi="Aptos"/>
          <w:sz w:val="22"/>
          <w:szCs w:val="22"/>
        </w:rPr>
        <w:t xml:space="preserve">: </w:t>
      </w:r>
      <w:r w:rsidRPr="00682E50">
        <w:rPr>
          <w:rFonts w:ascii="Aptos" w:hAnsi="Aptos"/>
          <w:sz w:val="22"/>
          <w:szCs w:val="22"/>
        </w:rPr>
        <w:t xml:space="preserve">Tortugas terrestres y de agua dulce (Testudines spp.) de Madagascar (Decisión 20.91)</w:t>
      </w:r>
      <w:bookmarkEnd w:id="104"/>
      <w:bookmarkEnd w:id="105"/>
      <w:r w:rsidRPr="00682E50">
        <w:rPr>
          <w:rFonts w:ascii="Aptos" w:hAnsi="Aptos"/>
          <w:sz w:val="22"/>
          <w:szCs w:val="22"/>
        </w:rPr>
        <w:t xml:space="preserve"> </w:t>
      </w:r>
    </w:p>
    <w:p w:rsidR="00682E50" w:rsidP="00682E50" w:rsidRDefault="00682E50" w14:paraId="00A555E5" w14:textId="77777777">
      <w:pPr>
        <w:spacing w:line="240" w:lineRule="auto"/>
        <w:rPr>
          <w:rFonts w:ascii="Aptos" w:hAnsi="Aptos"/>
        </w:rPr>
      </w:pPr>
    </w:p>
    <w:p w:rsidRPr="00682E50" w:rsidR="00682E50" w:rsidP="00682E50" w:rsidRDefault="00682E50" w14:paraId="1220625A" w14:textId="7E817C78">
      <w:pPr>
        <w:spacing w:line="240" w:lineRule="auto"/>
        <w:rPr>
          <w:rFonts w:ascii="Aptos" w:hAnsi="Aptos" w:eastAsia="Aptos" w:cs="Aptos"/>
          <w:b/>
          <w:bCs/>
          <w:color w:val="231F20"/>
        </w:rPr>
      </w:pPr>
      <w:r w:rsidRPr="00682E50">
        <w:rPr>
          <w:rFonts w:ascii="Aptos" w:hAnsi="Aptos"/>
          <w:b/>
          <w:bCs/>
        </w:rPr>
        <w:t xml:space="preserve">40.1</w:t>
      </w:r>
      <w:r w:rsidR="00395EA8">
        <w:rPr>
          <w:rFonts w:ascii="Aptos" w:hAnsi="Aptos"/>
          <w:b/>
          <w:bCs/>
        </w:rPr>
        <w:t xml:space="preserve">: </w:t>
      </w:r>
      <w:hyperlink r:id="rId46">
        <w:r w:rsidRPr="00682E50">
          <w:rPr>
            <w:rStyle w:val="Hyperlink"/>
            <w:rFonts w:ascii="Aptos" w:hAnsi="Aptos"/>
            <w:b/>
            <w:bCs/>
            <w:lang w:val="en-US"/>
          </w:rPr>
          <w:t xml:space="preserve">Informe de Madagascar</w:t>
        </w:r>
      </w:hyperlink>
    </w:p>
    <w:p w:rsidR="00682E50" w:rsidP="00682E50" w:rsidRDefault="00682E50" w14:paraId="11ADD4A9" w14:textId="77777777">
      <w:pPr>
        <w:spacing w:line="240" w:lineRule="auto"/>
        <w:rPr>
          <w:rFonts w:ascii="Aptos" w:hAnsi="Aptos" w:eastAsia="Aptos" w:cs="Aptos"/>
          <w:color w:val="B8CCE4" w:themeColor="accent1" w:themeTint="66"/>
          <w:lang w:val="en-SG"/>
        </w:rPr>
      </w:pPr>
    </w:p>
    <w:p w:rsidR="00682E50" w:rsidP="00682E50" w:rsidRDefault="00682E50" w14:paraId="18E78787" w14:textId="334211FA">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Esperamos poder presentar </w:t>
      </w:r>
      <w:r w:rsidRPr="73356980" w:rsidR="756F8BE4">
        <w:rPr>
          <w:rFonts w:ascii="Aptos" w:hAnsi="Aptos" w:eastAsia="Aptos" w:cs="Aptos"/>
          <w:color w:val="B8CCE4" w:themeColor="accent1" w:themeTint="66"/>
          <w:lang w:val="en-SG"/>
        </w:rPr>
        <w:t xml:space="preserve">comentarios</w:t>
      </w:r>
      <w:r w:rsidRPr="73356980">
        <w:rPr>
          <w:rFonts w:ascii="Aptos" w:hAnsi="Aptos" w:eastAsia="Aptos" w:cs="Aptos"/>
          <w:color w:val="B8CCE4" w:themeColor="accent1" w:themeTint="66"/>
          <w:lang w:val="en-SG"/>
        </w:rPr>
        <w:t xml:space="preserve"> adicionales </w:t>
      </w:r>
      <w:r w:rsidRPr="73356980">
        <w:rPr>
          <w:rFonts w:ascii="Aptos" w:hAnsi="Aptos" w:eastAsia="Aptos" w:cs="Aptos"/>
          <w:color w:val="B8CCE4" w:themeColor="accent1" w:themeTint="66"/>
          <w:lang w:val="en-SG"/>
        </w:rPr>
        <w:t xml:space="preserve">cuando se acerque la SC81. </w:t>
      </w:r>
    </w:p>
    <w:p w:rsidR="00682E50" w:rsidP="00682E50" w:rsidRDefault="00682E50" w14:paraId="1C661EA7" w14:textId="77777777">
      <w:pPr>
        <w:spacing w:line="240" w:lineRule="auto"/>
        <w:rPr>
          <w:rFonts w:ascii="Aptos" w:hAnsi="Aptos" w:eastAsia="Aptos" w:cs="Aptos"/>
          <w:color w:val="231F20"/>
        </w:rPr>
      </w:pPr>
    </w:p>
    <w:p w:rsidRPr="00682E50" w:rsidR="00682E50" w:rsidP="00682E50" w:rsidRDefault="00682E50" w14:paraId="50D695C8" w14:textId="77777777">
      <w:pPr>
        <w:spacing w:line="240" w:lineRule="auto"/>
        <w:rPr>
          <w:rFonts w:ascii="Aptos" w:hAnsi="Aptos" w:eastAsia="Aptos" w:cs="Aptos"/>
          <w:color w:val="231F20"/>
        </w:rPr>
      </w:pPr>
    </w:p>
    <w:p w:rsidRPr="00682E50" w:rsidR="00682E50" w:rsidP="00682E50" w:rsidRDefault="00682E50" w14:paraId="14B2B760" w14:textId="0109F616">
      <w:pPr>
        <w:pStyle w:val="Heading1"/>
        <w:rPr>
          <w:rFonts w:ascii="Aptos" w:hAnsi="Aptos"/>
          <w:sz w:val="22"/>
          <w:szCs w:val="22"/>
        </w:rPr>
      </w:pPr>
      <w:bookmarkStart w:name="_41._Implementation_of" w:id="106"/>
      <w:bookmarkStart w:name="_Implementation_of_the" w:id="107"/>
      <w:bookmarkStart w:name="_Toc242564016" w:id="108"/>
      <w:bookmarkEnd w:id="106"/>
      <w:r>
        <w:rPr>
          <w:rFonts w:ascii="Aptos" w:hAnsi="Aptos"/>
          <w:sz w:val="22"/>
          <w:szCs w:val="22"/>
        </w:rPr>
        <w:t xml:space="preserve">41</w:t>
      </w:r>
      <w:r w:rsidR="00395EA8">
        <w:rPr>
          <w:rFonts w:ascii="Aptos" w:hAnsi="Aptos"/>
          <w:sz w:val="22"/>
          <w:szCs w:val="22"/>
        </w:rPr>
        <w:t xml:space="preserve">: </w:t>
      </w:r>
      <w:hyperlink w:history="1" r:id="rId47">
        <w:r w:rsidRPr="00682E50">
          <w:rPr>
            <w:rStyle w:val="Hyperlink"/>
            <w:rFonts w:ascii="Aptos" w:hAnsi="Aptos"/>
            <w:sz w:val="22"/>
            <w:szCs w:val="22"/>
          </w:rPr>
          <w:t xml:space="preserve">Aplicación de las recomendaciones derivadas de la revisión del </w:t>
        </w:r>
        <w:r w:rsidRPr="00682E50">
          <w:rPr>
            <w:rStyle w:val="Hyperlink"/>
            <w:rFonts w:ascii="Aptos" w:hAnsi="Aptos"/>
            <w:sz w:val="22"/>
            <w:szCs w:val="22"/>
          </w:rPr>
          <w:t xml:space="preserve">programa</w:t>
        </w:r>
        <w:r w:rsidRPr="00682E50">
          <w:rPr>
            <w:rStyle w:val="Hyperlink"/>
            <w:rFonts w:ascii="Aptos" w:hAnsi="Aptos"/>
            <w:sz w:val="22"/>
            <w:szCs w:val="22"/>
          </w:rPr>
          <w:t xml:space="preserve"> ETIS </w:t>
        </w:r>
        <w:r w:rsidRPr="00682E50">
          <w:rPr>
            <w:rStyle w:val="Hyperlink"/>
            <w:rFonts w:ascii="Aptos" w:hAnsi="Aptos"/>
            <w:sz w:val="22"/>
            <w:szCs w:val="22"/>
          </w:rPr>
          <w:t xml:space="preserve">(Decisiones 19.96, 20.94, 20.98 y 20.103)</w:t>
        </w:r>
        <w:bookmarkEnd w:id="107"/>
        <w:bookmarkEnd w:id="108"/>
      </w:hyperlink>
    </w:p>
    <w:p w:rsidR="00682E50" w:rsidP="00682E50" w:rsidRDefault="00682E50" w14:paraId="1C81E81B" w14:textId="77777777">
      <w:pPr>
        <w:spacing w:line="240" w:lineRule="auto"/>
        <w:rPr>
          <w:rFonts w:ascii="Aptos" w:hAnsi="Aptos" w:eastAsia="Aptos" w:cs="Aptos"/>
          <w:color w:val="B8CCE4" w:themeColor="accent1" w:themeTint="66"/>
          <w:lang w:val="en-SG"/>
        </w:rPr>
      </w:pPr>
    </w:p>
    <w:p w:rsidR="00682E50" w:rsidP="00682E50" w:rsidRDefault="00682E50" w14:paraId="716D50AA" w14:textId="1B8DC2E5">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Esperamos poder aportar </w:t>
      </w:r>
      <w:r w:rsidRPr="73356980" w:rsidR="792714CA">
        <w:rPr>
          <w:rFonts w:ascii="Aptos" w:hAnsi="Aptos" w:eastAsia="Aptos" w:cs="Aptos"/>
          <w:color w:val="B8CCE4" w:themeColor="accent1" w:themeTint="66"/>
          <w:lang w:val="en-SG"/>
        </w:rPr>
        <w:t xml:space="preserve">comentarios</w:t>
      </w:r>
      <w:r w:rsidRPr="73356980">
        <w:rPr>
          <w:rFonts w:ascii="Aptos" w:hAnsi="Aptos" w:eastAsia="Aptos" w:cs="Aptos"/>
          <w:color w:val="B8CCE4" w:themeColor="accent1" w:themeTint="66"/>
          <w:lang w:val="en-SG"/>
        </w:rPr>
        <w:t xml:space="preserve"> adicionales </w:t>
      </w:r>
      <w:r w:rsidRPr="73356980">
        <w:rPr>
          <w:rFonts w:ascii="Aptos" w:hAnsi="Aptos" w:eastAsia="Aptos" w:cs="Aptos"/>
          <w:color w:val="B8CCE4" w:themeColor="accent1" w:themeTint="66"/>
          <w:lang w:val="en-SG"/>
        </w:rPr>
        <w:t xml:space="preserve">cuando se acerque la SC81. </w:t>
      </w:r>
    </w:p>
    <w:p w:rsidRPr="00682E50" w:rsidR="00682E50" w:rsidP="00682E50" w:rsidRDefault="00682E50" w14:paraId="342ED508" w14:textId="77777777">
      <w:pPr>
        <w:spacing w:line="240" w:lineRule="auto"/>
        <w:rPr>
          <w:rFonts w:ascii="Aptos" w:hAnsi="Aptos" w:eastAsia="Aptos" w:cs="Aptos"/>
        </w:rPr>
      </w:pPr>
    </w:p>
    <w:p w:rsidRPr="00682E50" w:rsidR="00682E50" w:rsidP="00682E50" w:rsidRDefault="00682E50" w14:paraId="03AF632F" w14:textId="77777777">
      <w:pPr>
        <w:spacing w:line="240" w:lineRule="auto"/>
        <w:rPr>
          <w:rFonts w:ascii="Aptos" w:hAnsi="Aptos" w:eastAsia="Aptos" w:cs="Aptos"/>
        </w:rPr>
      </w:pPr>
    </w:p>
    <w:p w:rsidRPr="00682E50" w:rsidR="00682E50" w:rsidP="00682E50" w:rsidRDefault="00682E50" w14:paraId="7A7CBC4A" w14:textId="2C05B436">
      <w:pPr>
        <w:pStyle w:val="Heading1"/>
        <w:rPr>
          <w:rFonts w:ascii="Aptos" w:hAnsi="Aptos"/>
          <w:sz w:val="22"/>
          <w:szCs w:val="22"/>
        </w:rPr>
      </w:pPr>
      <w:bookmarkStart w:name="_43._Legal_acquisition" w:id="109"/>
      <w:bookmarkStart w:name="_Legal_acquisition_findings_" w:id="110"/>
      <w:bookmarkStart w:name="_Toc242564017" w:id="111"/>
      <w:bookmarkEnd w:id="109"/>
      <w:r w:rsidRPr="00682E50">
        <w:rPr>
          <w:rFonts w:ascii="Aptos" w:hAnsi="Aptos"/>
          <w:sz w:val="22"/>
          <w:szCs w:val="22"/>
        </w:rPr>
        <w:t xml:space="preserve">43</w:t>
      </w:r>
      <w:r w:rsidR="00395EA8">
        <w:rPr>
          <w:rFonts w:ascii="Aptos" w:hAnsi="Aptos"/>
          <w:sz w:val="22"/>
          <w:szCs w:val="22"/>
        </w:rPr>
        <w:t xml:space="preserve">: </w:t>
      </w:r>
      <w:r w:rsidRPr="00682E50">
        <w:rPr>
          <w:rFonts w:ascii="Aptos" w:hAnsi="Aptos"/>
          <w:sz w:val="22"/>
          <w:szCs w:val="22"/>
        </w:rPr>
        <w:t xml:space="preserve">Conclusiones sobre la adquisición legal</w:t>
      </w:r>
      <w:bookmarkEnd w:id="110"/>
      <w:bookmarkEnd w:id="111"/>
      <w:r w:rsidRPr="00682E50">
        <w:rPr>
          <w:rFonts w:ascii="Aptos" w:hAnsi="Aptos"/>
          <w:sz w:val="22"/>
          <w:szCs w:val="22"/>
        </w:rPr>
        <w:t xml:space="preserve"> </w:t>
      </w:r>
    </w:p>
    <w:p w:rsidR="00395EA8" w:rsidP="00682E50" w:rsidRDefault="00395EA8" w14:paraId="4EF6DCE5" w14:textId="77777777">
      <w:pPr>
        <w:pStyle w:val="Heading1"/>
        <w:rPr>
          <w:rFonts w:ascii="Aptos" w:hAnsi="Aptos"/>
          <w:sz w:val="22"/>
          <w:szCs w:val="22"/>
        </w:rPr>
      </w:pPr>
      <w:bookmarkStart w:name="_43.1._Report_of" w:id="112"/>
      <w:bookmarkStart w:name="_Toc242564018" w:id="113"/>
      <w:bookmarkEnd w:id="112"/>
    </w:p>
    <w:p w:rsidRPr="00682E50" w:rsidR="00682E50" w:rsidP="00682E50" w:rsidRDefault="00682E50" w14:paraId="1E506842" w14:textId="5EFCA926">
      <w:pPr>
        <w:pStyle w:val="Heading1"/>
        <w:rPr>
          <w:rFonts w:ascii="Aptos" w:hAnsi="Aptos"/>
          <w:sz w:val="22"/>
          <w:szCs w:val="22"/>
        </w:rPr>
      </w:pPr>
      <w:r w:rsidRPr="00682E50">
        <w:rPr>
          <w:rFonts w:ascii="Aptos" w:hAnsi="Aptos"/>
          <w:sz w:val="22"/>
          <w:szCs w:val="22"/>
        </w:rPr>
        <w:t xml:space="preserve">43.</w:t>
      </w:r>
      <w:bookmarkStart w:name="___1._Report" w:id="114"/>
      <w:r w:rsidRPr="00682E50">
        <w:rPr>
          <w:rFonts w:ascii="Aptos" w:hAnsi="Aptos"/>
          <w:sz w:val="22"/>
          <w:szCs w:val="22"/>
        </w:rPr>
        <w:t xml:space="preserve"> 1</w:t>
      </w:r>
      <w:r w:rsidR="00395EA8">
        <w:rPr>
          <w:rFonts w:ascii="Aptos" w:hAnsi="Aptos"/>
          <w:sz w:val="22"/>
          <w:szCs w:val="22"/>
        </w:rPr>
        <w:t xml:space="preserve">: </w:t>
      </w:r>
      <w:hyperlink r:id="rId48">
        <w:r w:rsidRPr="00682E50">
          <w:rPr>
            <w:rStyle w:val="Hyperlink"/>
            <w:rFonts w:ascii="Aptos" w:hAnsi="Aptos"/>
            <w:sz w:val="22"/>
            <w:szCs w:val="22"/>
          </w:rPr>
          <w:t xml:space="preserve">Informe del grupo de trabajo (Decisión 20.112)</w:t>
        </w:r>
        <w:bookmarkEnd w:id="113"/>
        <w:bookmarkEnd w:id="114"/>
      </w:hyperlink>
      <w:r w:rsidRPr="00682E50">
        <w:rPr>
          <w:rFonts w:ascii="Aptos" w:hAnsi="Aptos"/>
          <w:sz w:val="22"/>
          <w:szCs w:val="22"/>
        </w:rPr>
        <w:t xml:space="preserve"> </w:t>
      </w:r>
    </w:p>
    <w:p w:rsidR="00395EA8" w:rsidP="00682E50" w:rsidRDefault="00395EA8" w14:paraId="654DBFC0" w14:textId="77777777">
      <w:pPr>
        <w:spacing w:line="240" w:lineRule="auto"/>
        <w:rPr>
          <w:rFonts w:ascii="Aptos" w:hAnsi="Aptos" w:eastAsia="Aptos" w:cs="Aptos"/>
          <w:lang w:val="en-US"/>
        </w:rPr>
      </w:pPr>
    </w:p>
    <w:p w:rsidRPr="00682E50" w:rsidR="00682E50" w:rsidP="00682E50" w:rsidRDefault="00682E50" w14:paraId="0DBC6BBE" w14:textId="1DF1EE40">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Agradecemos la participación constructiva de los miembros del grupo de trabajo entre sesiones y damos las gracias a Estados Unidos, en su calidad de presidente del grupo de trabajo, por el resumen de debates tan complejos. </w:t>
      </w:r>
    </w:p>
    <w:p w:rsidRPr="00682E50" w:rsidR="00682E50" w:rsidP="00682E50" w:rsidRDefault="00682E50" w14:paraId="107E219B" w14:textId="77777777">
      <w:pPr>
        <w:spacing w:line="240" w:lineRule="auto"/>
        <w:rPr>
          <w:rFonts w:ascii="Aptos" w:hAnsi="Aptos" w:eastAsia="Aptos" w:cs="Aptos"/>
          <w:lang w:val="en-US"/>
        </w:rPr>
      </w:pPr>
    </w:p>
    <w:p w:rsidRPr="00682E50" w:rsidR="00682E50" w:rsidP="00682E50" w:rsidRDefault="00682E50" w14:paraId="51DBF905" w14:textId="77777777">
      <w:pPr>
        <w:spacing w:line="240" w:lineRule="auto"/>
        <w:rPr>
          <w:rFonts w:ascii="Aptos" w:hAnsi="Aptos"/>
        </w:rPr>
      </w:pPr>
      <w:r w:rsidRPr="00682E50">
        <w:rPr>
          <w:rFonts w:ascii="Aptos" w:hAnsi="Aptos" w:eastAsia="Aptos" w:cs="Aptos"/>
          <w:lang w:val="en-US"/>
        </w:rPr>
        <w:t xml:space="preserve">Con respecto a la interpretación que hace la WCS del término «población fundadora», reiteramos los puntos que planteamos durante los debates del grupo de trabajo entre sesiones: </w:t>
      </w:r>
    </w:p>
    <w:p w:rsidRPr="00682E50" w:rsidR="00682E50" w:rsidP="00682E50" w:rsidRDefault="00682E50" w14:paraId="7EED1A1E" w14:textId="77777777">
      <w:pPr>
        <w:spacing w:line="240" w:lineRule="auto"/>
        <w:rPr>
          <w:rFonts w:ascii="Aptos" w:hAnsi="Aptos" w:eastAsia="Aptos" w:cs="Aptos"/>
          <w:lang w:val="en-US"/>
        </w:rPr>
      </w:pPr>
    </w:p>
    <w:p w:rsidRPr="00682E50" w:rsidR="00682E50" w:rsidP="00682E50" w:rsidRDefault="00682E50" w14:paraId="690FE0EA" w14:textId="77777777">
      <w:pPr>
        <w:pStyle w:val="ListParagraph"/>
        <w:numPr>
          <w:ilvl w:val="0"/>
          <w:numId w:val="19"/>
        </w:numPr>
        <w:spacing w:line="240" w:lineRule="auto"/>
        <w:rPr>
          <w:rFonts w:ascii="Aptos" w:hAnsi="Aptos" w:eastAsia="Aptos" w:cs="Aptos"/>
          <w:lang w:val="en-US"/>
        </w:rPr>
      </w:pPr>
      <w:r w:rsidRPr="00682E50">
        <w:rPr>
          <w:rFonts w:ascii="Aptos" w:hAnsi="Aptos" w:eastAsia="Aptos" w:cs="Aptos"/>
          <w:lang w:val="en-US"/>
        </w:rPr>
        <w:t xml:space="preserve">El término </w:t>
      </w:r>
      <w:r w:rsidRPr="00682E50">
        <w:rPr>
          <w:rFonts w:ascii="Aptos" w:hAnsi="Aptos" w:eastAsia="Aptos" w:cs="Aptos"/>
          <w:b/>
          <w:bCs/>
          <w:u w:val="single"/>
          <w:lang w:val="en-US"/>
        </w:rPr>
        <w:t xml:space="preserve">«población fundadora» </w:t>
      </w:r>
      <w:r w:rsidRPr="00682E50">
        <w:rPr>
          <w:rFonts w:ascii="Aptos" w:hAnsi="Aptos" w:eastAsia="Aptos" w:cs="Aptos"/>
          <w:lang w:val="en-US"/>
        </w:rPr>
        <w:t xml:space="preserve">debe definirse como los especímenes originales que fueron extraídos del medio silvestre por seres humanos, y cuyos individuos o su descendencia se utilizan para producir descendencia en un entorno de cautividad. </w:t>
      </w:r>
    </w:p>
    <w:p w:rsidRPr="00682E50" w:rsidR="00682E50" w:rsidP="00682E50" w:rsidRDefault="00682E50" w14:paraId="21346021"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Observamos que el término </w:t>
      </w:r>
      <w:r w:rsidRPr="00682E50">
        <w:rPr>
          <w:rFonts w:ascii="Aptos" w:hAnsi="Aptos" w:eastAsia="Aptos" w:cs="Aptos"/>
          <w:lang w:val="en-US"/>
        </w:rPr>
        <w:t xml:space="preserve">«fundador» se define generalmente como una entidad específica que introduce o desarrolla algo nuevo. En este contexto, interpretamos que el término se refiere a individuos que introducen nuevo material genético en un acervo de especímenes criados en cautiverio, los cuales están sujetos a diferentes normas (o exenciones) en virtud de la CITES. Existe una transición crítica en </w:t>
      </w:r>
      <w:r w:rsidRPr="00682E50">
        <w:rPr>
          <w:rFonts w:ascii="Aptos" w:hAnsi="Aptos" w:eastAsia="Aptos" w:cs="Aptos"/>
          <w:i/>
          <w:iCs/>
          <w:lang w:val="en-US"/>
        </w:rPr>
        <w:t xml:space="preserve">la regulación </w:t>
      </w:r>
      <w:r w:rsidRPr="00682E50">
        <w:rPr>
          <w:rFonts w:ascii="Aptos" w:hAnsi="Aptos" w:eastAsia="Aptos" w:cs="Aptos"/>
          <w:lang w:val="en-US"/>
        </w:rPr>
        <w:t xml:space="preserve">de los especímenes incluidos en la CITES entre ser «de origen silvestre» o no ser de origen silvestre (por ejemplo, criados en cautiverio). Por lo tanto, existe la necesidad —que creemos que se satisface con el término «población fundadora»— de identificar los especímenes que se encuentran en el punto crucial de esa conversión en los enfoques regulatorios.</w:t>
      </w:r>
    </w:p>
    <w:p w:rsidRPr="00682E50" w:rsidR="00682E50" w:rsidP="00682E50" w:rsidRDefault="00682E50" w14:paraId="715893C6" w14:textId="77777777">
      <w:pPr>
        <w:pStyle w:val="ListParagraph"/>
        <w:numPr>
          <w:ilvl w:val="1"/>
          <w:numId w:val="19"/>
        </w:numPr>
        <w:spacing w:line="240" w:lineRule="auto"/>
        <w:rPr>
          <w:rFonts w:ascii="Aptos" w:hAnsi="Aptos" w:eastAsia="Aptos" w:cs="Aptos"/>
          <w:lang w:val="en-US"/>
        </w:rPr>
      </w:pPr>
      <w:r w:rsidRPr="00682E50">
        <w:rPr>
          <w:rFonts w:ascii="Aptos" w:hAnsi="Aptos" w:eastAsia="Aptos" w:cs="Aptos"/>
          <w:lang w:val="en-US"/>
        </w:rPr>
        <w:t xml:space="preserve">El término «población fundadora» debería abarcar tanto a los ejemplares retirados intencionalmente para su cría en cautiverio como a aquellos que fueron capturados por otras razones, como el comercio de mascotas o para aficionados, y que eventualmente ingresan a operaciones de cría en cautiverio. Esto se refiere a los ejemplares animales originales —en el caso de la fauna— que fueron retirados del medio silvestre, incluso si las poblaciones actuales en cautiverio son de generación F1, F2 o posteriores.</w:t>
      </w:r>
    </w:p>
    <w:p w:rsidRPr="00682E50" w:rsidR="00682E50" w:rsidP="00682E50" w:rsidRDefault="00682E50" w14:paraId="6E29FF33"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Coincidimos con varios otros comentaristas que han señalado que «estos ejemplares requieren prueba documentada de captura, recolección, extracción u otra adquisición lícita de su área de distribución natural, así como la determinación de que el ejemplar fue adquirido de una manera que no fue perjudicial para la supervivencia de la especie en el medio silvestre». </w:t>
      </w:r>
      <w:r w:rsidRPr="00682E50">
        <w:rPr>
          <w:rFonts w:ascii="Aptos" w:hAnsi="Aptos" w:eastAsia="Aptos" w:cs="Aptos"/>
          <w:i/>
          <w:iCs/>
          <w:lang w:val="en-US"/>
        </w:rPr>
        <w:t xml:space="preserve">Nota: La población fundadora obtenida ilegalmente hace que cualquier descendencia o generaciones posteriores también sean ilegales, de acuerdo con el borrador de la guía. </w:t>
      </w:r>
    </w:p>
    <w:p w:rsidRPr="00682E50" w:rsidR="00682E50" w:rsidP="00682E50" w:rsidRDefault="00682E50" w14:paraId="5C30337F"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Nuestra definición es coherente con el uso del concepto de «población fundadora» en la Resolución de la Conferencia 17.7 (Rev. CoP20), que hace referencia a </w:t>
      </w:r>
      <w:r w:rsidRPr="00682E50">
        <w:rPr>
          <w:rFonts w:ascii="Aptos" w:hAnsi="Aptos" w:eastAsia="Aptos" w:cs="Aptos"/>
          <w:i/>
          <w:iCs/>
          <w:lang w:val="en-US"/>
        </w:rPr>
        <w:t xml:space="preserve">la «extracción de la población fundadora del medio silvestre».</w:t>
      </w:r>
    </w:p>
    <w:p w:rsidRPr="00682E50" w:rsidR="00682E50" w:rsidP="00682E50" w:rsidRDefault="00682E50" w14:paraId="40348599" w14:textId="77777777">
      <w:pPr>
        <w:pStyle w:val="ListParagraph"/>
        <w:numPr>
          <w:ilvl w:val="0"/>
          <w:numId w:val="19"/>
        </w:numPr>
        <w:spacing w:line="240" w:lineRule="auto"/>
        <w:rPr>
          <w:rFonts w:ascii="Aptos" w:hAnsi="Aptos" w:eastAsia="Aptos" w:cs="Aptos"/>
        </w:rPr>
      </w:pPr>
      <w:r w:rsidRPr="00682E50">
        <w:rPr>
          <w:rFonts w:ascii="Aptos" w:hAnsi="Aptos" w:eastAsia="Aptos" w:cs="Aptos"/>
        </w:rPr>
        <w:t xml:space="preserve">El término </w:t>
      </w:r>
      <w:r w:rsidRPr="00682E50">
        <w:rPr>
          <w:rFonts w:ascii="Aptos" w:hAnsi="Aptos" w:eastAsia="Aptos" w:cs="Aptos"/>
          <w:b/>
          <w:bCs/>
          <w:u w:val="single"/>
        </w:rPr>
        <w:t xml:space="preserve">«población parental» </w:t>
      </w:r>
      <w:r w:rsidRPr="00682E50">
        <w:rPr>
          <w:rFonts w:ascii="Aptos" w:hAnsi="Aptos" w:eastAsia="Aptos" w:cs="Aptos"/>
        </w:rPr>
        <w:t xml:space="preserve">debe referirse a los ejemplares que produjeron la descendencia en cuestión (la población parental se utiliza en relación con uno o varios ejemplares específicos incluidos en la CITES). En teoría, se trata de un término específico para un ejemplar o una cohorte, aunque hasta la fecha se ha utilizado principalmente en el contexto de un único entorno controlado. </w:t>
      </w:r>
    </w:p>
    <w:p w:rsidRPr="00682E50" w:rsidR="00682E50" w:rsidP="00682E50" w:rsidRDefault="00682E50" w14:paraId="39F61F17" w14:textId="77777777">
      <w:pPr>
        <w:spacing w:line="240" w:lineRule="auto"/>
        <w:rPr>
          <w:rFonts w:ascii="Aptos" w:hAnsi="Aptos" w:eastAsia="Aptos" w:cs="Aptos"/>
          <w:lang w:val="en-US"/>
        </w:rPr>
      </w:pPr>
    </w:p>
    <w:p w:rsidRPr="00682E50" w:rsidR="00682E50" w:rsidP="00682E50" w:rsidRDefault="00682E50" w14:paraId="32138D66" w14:textId="77777777">
      <w:pPr>
        <w:spacing w:line="240" w:lineRule="auto"/>
        <w:rPr>
          <w:rFonts w:ascii="Aptos" w:hAnsi="Aptos"/>
        </w:rPr>
      </w:pPr>
      <w:r w:rsidRPr="00682E50">
        <w:rPr>
          <w:rFonts w:ascii="Aptos" w:hAnsi="Aptos" w:eastAsia="Aptos" w:cs="Aptos"/>
          <w:lang w:val="en-US"/>
        </w:rPr>
        <w:t xml:space="preserve">La WCS espera con interés unirse al grupo de trabajo durante la sesión, cuya celebración se propone durante la 81.ª reunión del Comité de Conservación (SC81), y trabajar para alcanzar un entendimiento común del concepto de «población fundadora». </w:t>
      </w:r>
    </w:p>
    <w:p w:rsidRPr="00682E50" w:rsidR="00682E50" w:rsidP="00682E50" w:rsidRDefault="00682E50" w14:paraId="332445F1" w14:textId="77777777">
      <w:pPr>
        <w:spacing w:line="240" w:lineRule="auto"/>
        <w:rPr>
          <w:rFonts w:ascii="Aptos" w:hAnsi="Aptos" w:eastAsia="Aptos" w:cs="Aptos"/>
        </w:rPr>
      </w:pPr>
    </w:p>
    <w:p w:rsidRPr="00682E50" w:rsidR="00682E50" w:rsidP="00682E50" w:rsidRDefault="00682E50" w14:paraId="119BF7C2" w14:textId="1A5CD056">
      <w:pPr>
        <w:pStyle w:val="Heading1"/>
        <w:rPr>
          <w:rFonts w:ascii="Aptos" w:hAnsi="Aptos"/>
          <w:sz w:val="22"/>
          <w:szCs w:val="22"/>
        </w:rPr>
      </w:pPr>
      <w:bookmarkStart w:name="_43.2._Report_of" w:id="115"/>
      <w:bookmarkStart w:name="_Toc242564019" w:id="116"/>
      <w:bookmarkEnd w:id="115"/>
      <w:r w:rsidRPr="00682E50">
        <w:rPr>
          <w:rFonts w:ascii="Aptos" w:hAnsi="Aptos"/>
          <w:sz w:val="22"/>
          <w:szCs w:val="22"/>
        </w:rPr>
        <w:t xml:space="preserve">43.</w:t>
      </w:r>
      <w:bookmarkStart w:name="___2._Report" w:id="117"/>
      <w:r w:rsidRPr="00682E50">
        <w:rPr>
          <w:rFonts w:ascii="Aptos" w:hAnsi="Aptos"/>
          <w:sz w:val="22"/>
          <w:szCs w:val="22"/>
        </w:rPr>
        <w:t xml:space="preserve"> 2</w:t>
      </w:r>
      <w:r w:rsidR="00395EA8">
        <w:rPr>
          <w:rFonts w:ascii="Aptos" w:hAnsi="Aptos"/>
          <w:sz w:val="22"/>
          <w:szCs w:val="22"/>
        </w:rPr>
        <w:t xml:space="preserve">: </w:t>
      </w:r>
      <w:hyperlink r:id="rId49">
        <w:r w:rsidRPr="00682E50">
          <w:rPr>
            <w:rStyle w:val="Hyperlink"/>
            <w:rFonts w:ascii="Aptos" w:hAnsi="Aptos"/>
            <w:sz w:val="22"/>
            <w:szCs w:val="22"/>
          </w:rPr>
          <w:t xml:space="preserve">Informe de la Secretaría (Decisión 20.110)</w:t>
        </w:r>
        <w:bookmarkEnd w:id="116"/>
        <w:bookmarkEnd w:id="117"/>
      </w:hyperlink>
      <w:r w:rsidRPr="00682E50">
        <w:rPr>
          <w:rFonts w:ascii="Aptos" w:hAnsi="Aptos"/>
          <w:sz w:val="22"/>
          <w:szCs w:val="22"/>
        </w:rPr>
        <w:t xml:space="preserve"> </w:t>
      </w:r>
    </w:p>
    <w:p w:rsidR="00682E50" w:rsidP="00682E50" w:rsidRDefault="00682E50" w14:paraId="4C3F54D4" w14:textId="77777777">
      <w:pPr>
        <w:pStyle w:val="SC81Normal"/>
        <w:spacing w:after="0"/>
      </w:pPr>
    </w:p>
    <w:p w:rsidR="00682E50" w:rsidP="00682E50" w:rsidRDefault="00682E50" w14:paraId="277C92B6" w14:textId="49D6B089">
      <w:pPr>
        <w:pStyle w:val="SC81Normal"/>
        <w:spacing w:after="0"/>
      </w:pPr>
      <w:r w:rsidRPr="00682E50">
        <w:t xml:space="preserve">Agradecemos los esfuerzos de la Secretaría por mantener la página de Conclusiones sobre Adquisición Legal (LAF) en el sitio web de la CITES, la cual puede convertirse en un nodo crucial para el intercambio de información. </w:t>
      </w:r>
    </w:p>
    <w:p w:rsidRPr="00682E50" w:rsidR="00682E50" w:rsidP="00682E50" w:rsidRDefault="00682E50" w14:paraId="185FDFED" w14:textId="77777777">
      <w:pPr>
        <w:pStyle w:val="SC81Normal"/>
        <w:spacing w:after="0"/>
      </w:pPr>
    </w:p>
    <w:p w:rsidRPr="00682E50" w:rsidR="00682E50" w:rsidP="00682E50" w:rsidRDefault="00682E50" w14:paraId="711523A9" w14:textId="77777777">
      <w:pPr>
        <w:pStyle w:val="SC81Normal"/>
        <w:spacing w:after="0"/>
      </w:pPr>
      <w:r w:rsidRPr="00682E50">
        <w:t xml:space="preserve">Alentamos a las Partes a que continúen presentando información adicional sobre la existencia, adopción o modificación de medidas nacionales más estrictas relativas a la gestión de las especies incluidas en la CITES que son nativas de su jurisdicción, y en particular de las especies endémicas (información que luego debería cargarse en las páginas de perfil de los países). </w:t>
      </w:r>
    </w:p>
    <w:p w:rsidR="00682E50" w:rsidP="00682E50" w:rsidRDefault="00682E50" w14:paraId="680395A8" w14:textId="77777777">
      <w:pPr>
        <w:pStyle w:val="SC81Normal"/>
        <w:spacing w:after="0"/>
      </w:pPr>
    </w:p>
    <w:p w:rsidRPr="00682E50" w:rsidR="00682E50" w:rsidP="00682E50" w:rsidRDefault="00682E50" w14:paraId="5305F88A" w14:textId="34A639C9">
      <w:pPr>
        <w:pStyle w:val="SC81Normal"/>
        <w:spacing w:after="0"/>
      </w:pPr>
      <w:r w:rsidRPr="00682E50">
        <w:lastRenderedPageBreak/>
      </w:r>
      <w:r w:rsidRPr="00682E50">
        <w:t xml:space="preserve">Podría ser conveniente modificar la guía de la CITES sobre la formulación de conclusiones sobre la adquisición legal, anexa a la Resolución de la Conferencia de las Partes 18.7 (Rev. CoP20), para abordar específicamente los requisitos probatorios al considerar medidas nacionales más estrictas. </w:t>
      </w:r>
    </w:p>
    <w:p w:rsidR="00682E50" w:rsidP="00682E50" w:rsidRDefault="00682E50" w14:paraId="271CA06C" w14:textId="77777777">
      <w:pPr>
        <w:spacing w:line="240" w:lineRule="auto"/>
        <w:rPr>
          <w:rFonts w:ascii="Aptos" w:hAnsi="Aptos" w:eastAsia="Aptos" w:cs="Aptos"/>
          <w:lang w:val="en-US"/>
        </w:rPr>
      </w:pPr>
    </w:p>
    <w:p w:rsidRPr="00682E50" w:rsidR="00682E50" w:rsidP="00682E50" w:rsidRDefault="00682E50" w14:paraId="394A52FA" w14:textId="77777777">
      <w:pPr>
        <w:spacing w:line="240" w:lineRule="auto"/>
        <w:rPr>
          <w:rFonts w:ascii="Aptos" w:hAnsi="Aptos" w:eastAsia="Aptos" w:cs="Aptos"/>
          <w:lang w:val="en-US"/>
        </w:rPr>
      </w:pPr>
    </w:p>
    <w:p w:rsidRPr="00682E50" w:rsidR="00682E50" w:rsidP="00682E50" w:rsidRDefault="00682E50" w14:paraId="1043245B" w14:textId="2B6E8CC1">
      <w:pPr>
        <w:spacing w:line="240" w:lineRule="auto"/>
        <w:rPr>
          <w:rFonts w:ascii="Aptos" w:hAnsi="Aptos"/>
        </w:rPr>
      </w:pPr>
      <w:r w:rsidRPr="00682E50">
        <w:rPr>
          <w:rFonts w:ascii="Aptos" w:hAnsi="Aptos" w:eastAsia="Aptos" w:cs="Aptos"/>
          <w:b/>
          <w:bCs/>
        </w:rPr>
        <w:t xml:space="preserve">45</w:t>
      </w:r>
      <w:r w:rsidR="00395EA8">
        <w:rPr>
          <w:rFonts w:ascii="Aptos" w:hAnsi="Aptos" w:eastAsia="Aptos" w:cs="Aptos"/>
          <w:b/>
          <w:bCs/>
        </w:rPr>
        <w:t xml:space="preserve">: </w:t>
      </w:r>
      <w:hyperlink r:id="rId50">
        <w:r w:rsidRPr="00682E50">
          <w:rPr>
            <w:rStyle w:val="Hyperlink"/>
            <w:rFonts w:ascii="Aptos" w:hAnsi="Aptos"/>
            <w:b/>
            <w:bCs/>
          </w:rPr>
          <w:t xml:space="preserve">Introducción desde el mar (IFS) (Decisión 20.118)</w:t>
        </w:r>
      </w:hyperlink>
      <w:r w:rsidRPr="00682E50">
        <w:rPr>
          <w:rFonts w:ascii="Aptos" w:hAnsi="Aptos" w:eastAsia="Aptos" w:cs="Aptos"/>
          <w:b/>
          <w:bCs/>
        </w:rPr>
        <w:t xml:space="preserve">  </w:t>
      </w:r>
    </w:p>
    <w:p w:rsidR="00682E50" w:rsidP="00682E50" w:rsidRDefault="00682E50" w14:paraId="791DFA80" w14:textId="77777777">
      <w:pPr>
        <w:pStyle w:val="SC81Normal"/>
        <w:spacing w:after="0"/>
      </w:pPr>
    </w:p>
    <w:p w:rsidRPr="00682E50" w:rsidR="00682E50" w:rsidP="00682E50" w:rsidRDefault="00682E50" w14:paraId="7AD677B8" w14:textId="735E0620">
      <w:pPr>
        <w:pStyle w:val="SC81Normal"/>
        <w:spacing w:after="0"/>
      </w:pPr>
      <w:r w:rsidRPr="00682E50">
        <w:t xml:space="preserve">WCS agradece la atención que las Partes han prestado al cumplimiento de sus obligaciones relativas a los especímenes capturados en Áreas fuera de la Jurisdicción Nacional (ABNJ), y esperamos seguir colaborando con las Partes y la Secretaría para ayudar a garantizar la aplicación efectiva de la CITES en lo que respecta a los especímenes capturados en las ABNJ.  </w:t>
      </w:r>
    </w:p>
    <w:p w:rsidR="00682E50" w:rsidP="00682E50" w:rsidRDefault="00682E50" w14:paraId="7974F16A" w14:textId="77777777">
      <w:pPr>
        <w:pStyle w:val="SC81Normal"/>
        <w:spacing w:after="0"/>
      </w:pPr>
    </w:p>
    <w:p w:rsidRPr="00682E50" w:rsidR="00682E50" w:rsidP="00682E50" w:rsidRDefault="00682E50" w14:paraId="10BBC4AF" w14:textId="0E1FEA87">
      <w:pPr>
        <w:pStyle w:val="SC81Normal"/>
        <w:spacing w:after="0"/>
      </w:pPr>
      <w:r w:rsidRPr="00682E50">
        <w:t xml:space="preserve">Agradecemos todo el arduo trabajo y los esfuerzos por alcanzar un consenso que condujeron a la adopción de la Resolución Conf. 14.6 (Rev. CoP16). Reconocemos que es necesario avanzar más en la implementación de esta resolución y de los requisitos de la CITES asociados a ella, en lo que respecta a los especímenes capturados en zonas situadas fuera de la jurisdicción nacional (ABNJ). No estamos convencidos de que se haya realizado un análisis suficiente que justifique la revisión de la Res. Conf. 14.6 (Rev. CoP16), más allá de aclaraciones, actualizaciones y orientaciones mejoradas. Instamos enérgicamente al Comité de Conservación (SC) y a las Partes a que no modifiquen los elementos centrales de la resolución —fruto de años de debate— sobre cuándo debe expedirse un certificado del Sistema Internacional de Seguimiento (IFS) y cuándo debe expedirse un permiso de exportación para los especímenes capturados en zonas fuera de la jurisdicción nacional (ABNJ).  </w:t>
      </w:r>
    </w:p>
    <w:p w:rsidR="00682E50" w:rsidP="00682E50" w:rsidRDefault="00682E50" w14:paraId="3FBF8CFD" w14:textId="77777777">
      <w:pPr>
        <w:pStyle w:val="SC81Normal"/>
        <w:spacing w:after="0"/>
      </w:pPr>
    </w:p>
    <w:p w:rsidRPr="00682E50" w:rsidR="00682E50" w:rsidP="00682E50" w:rsidRDefault="00682E50" w14:paraId="0E752433" w14:textId="165E6E70">
      <w:pPr>
        <w:pStyle w:val="SC81Normal"/>
        <w:spacing w:after="0"/>
      </w:pPr>
      <w:r w:rsidRPr="00682E50">
        <w:t xml:space="preserve">WCS agradece la oportunidad de haber podido presentar comentarios sobre la Notificación a las Partes n.º 2026/054, así como la inclusión de nuestros comentarios en el resumen del anexo del Documento 45. Esperamos con interés la publicación del documento informativo que contenga todos los comentarios recibidos. Agradecemos los aportes de las Partes y de los demás observadores que presentaron comentarios, pero nos decepciona que solo 18 Partes hayan enviado comentarios. A través de nuestro trabajo nacional y regional en la conservación y gestión de especies marinas sujetas al comercio internacional, la WCS es muy consciente de que muchas Partes enfrentan desafíos en la implementación efectiva de las disposiciones del IFS y que podría ser necesario un apoyo adicional.</w:t>
      </w:r>
    </w:p>
    <w:p w:rsidR="00682E50" w:rsidP="00682E50" w:rsidRDefault="00682E50" w14:paraId="703C46B5" w14:textId="77777777">
      <w:pPr>
        <w:pStyle w:val="SC81Normal"/>
        <w:spacing w:after="0"/>
      </w:pPr>
    </w:p>
    <w:p w:rsidRPr="00682E50" w:rsidR="00682E50" w:rsidP="00682E50" w:rsidRDefault="00682E50" w14:paraId="3EFA7BF7" w14:textId="329098A2">
      <w:pPr>
        <w:pStyle w:val="SC81Normal"/>
        <w:spacing w:after="0"/>
      </w:pPr>
      <w:r w:rsidRPr="00682E50">
        <w:t xml:space="preserve">Agradecemos que la Secretaría haya incluido en su resumen nuestra observación de que, en algunas Partes, la legislación nacional es insuficiente para aplicar eficazmente el IFS y, en particular, las disposiciones de la Resolución Conf. 14.6 (Rev. CoP16). El proyecto de Legislación Nacional de la CITES no aborda esta brecha y, por lo tanto, se puede considerar que algunas Partes cuentan con legislación suficiente, cuando en realidad no tienen una legislación que aborde de manera efectiva la captura de especies incluidas en la CITES en las zonas marítimas fuera de la jurisdicción nacional (ABNJ). Recomendamos que el proyecto de Legislación Nacional aborde de manera más específica el cumplimiento en lo que respecta al comercio de especímenes capturados en las zonas marítimas fuera de la jurisdicción nacional (ABNJ) y a la aplicación de las obligaciones de la IFS de la CITES. </w:t>
      </w:r>
    </w:p>
    <w:p w:rsidRPr="00682E50" w:rsidR="00682E50" w:rsidP="00682E50" w:rsidRDefault="00682E50" w14:paraId="2A72787E" w14:textId="77777777">
      <w:pPr>
        <w:spacing w:line="240" w:lineRule="auto"/>
        <w:rPr>
          <w:rFonts w:ascii="Aptos" w:hAnsi="Aptos" w:eastAsia="Aptos" w:cs="Aptos"/>
        </w:rPr>
      </w:pPr>
      <w:r w:rsidRPr="00682E50">
        <w:rPr>
          <w:rFonts w:ascii="Aptos" w:hAnsi="Aptos" w:eastAsia="Aptos" w:cs="Aptos"/>
        </w:rPr>
        <w:t xml:space="preserve"> </w:t>
      </w:r>
    </w:p>
    <w:p w:rsidRPr="00682E50" w:rsidR="00682E50" w:rsidP="00682E50" w:rsidRDefault="00682E50" w14:paraId="04853160" w14:textId="77777777">
      <w:pPr>
        <w:pStyle w:val="SC81Normal"/>
        <w:spacing w:after="0"/>
      </w:pPr>
      <w:r w:rsidRPr="00682E50">
        <w:t xml:space="preserve">WCS considera que estas cuestiones no solo se refieren a la comprensión por parte de las Partes de sus obligaciones relativas a los especímenes capturados en las ABNJ, sino también al cumplimiento de dichas obligaciones y a la aplicación de la ley por parte de los Estados de pabellón y de puerto, así como de los países exportadores e importadores. En lugar de centrarse en enmendar la Res. Conf. 14.6 (Rev. CoP16), recomendamos que se preste mayor atención a la aplicación de la Convención en lo que respecta a los especímenes capturados en las ABNJ y a garantizar el cumplimiento —incluida la expedición de los permisos o certificados de la CITES adecuados y las determinaciones requeridas por parte de las Partes cuyos buques operan en las ABNJ, así como la aplicación de los requisitos de la CITES por parte de las Partes—. </w:t>
      </w:r>
    </w:p>
    <w:p w:rsidR="00682E50" w:rsidP="00682E50" w:rsidRDefault="00682E50" w14:paraId="41BC9716" w14:textId="77777777">
      <w:pPr>
        <w:pStyle w:val="SC81Normal"/>
        <w:spacing w:after="0"/>
      </w:pPr>
    </w:p>
    <w:p w:rsidRPr="00682E50" w:rsidR="00682E50" w:rsidP="00682E50" w:rsidRDefault="00682E50" w14:paraId="04C3DAD0" w14:textId="53716F03">
      <w:pPr>
        <w:pStyle w:val="SC81Normal"/>
        <w:spacing w:after="0"/>
      </w:pPr>
      <w:r w:rsidRPr="00682E50">
        <w:t xml:space="preserve">WCS se complace en ser miembro del Grupo de Trabajo entre períodos de sesiones (GT) del Comité Permanente sobre este tema vital. Apoyamos las recomendaciones de la Secretaría en este </w:t>
      </w:r>
      <w:r w:rsidRPr="00682E50">
        <w:t xml:space="preserve">documento</w:t>
      </w:r>
      <w:r w:rsidRPr="00682E50">
        <w:lastRenderedPageBreak/>
      </w:r>
      <w:r w:rsidRPr="00682E50">
        <w:t xml:space="preserve"> , así como el trabajo en curso del GT. Esperamos poder compartir nuestra experiencia en el taller técnico propuesto. Sin embargo, señalamos que no estamos de acuerdo con que el apoyo de la Secretaría al GT (organización de reuniones, etc.) se realice únicamente con sujeción a financiamiento externo. Si bien siempre alentamos un mayor financiamiento, dado el creciente número de especies marinas incluidas en los Apéndices, el deseo de las Partes de contar con una orientación clara y los continuos desafíos en materia de cumplimiento, consideramos que esa labor es una función fundamental de la Secretaría. </w:t>
      </w:r>
    </w:p>
    <w:p w:rsidR="00682E50" w:rsidP="00682E50" w:rsidRDefault="00682E50" w14:paraId="68AE141C" w14:textId="77777777">
      <w:pPr>
        <w:spacing w:line="240" w:lineRule="auto"/>
        <w:rPr>
          <w:rFonts w:ascii="Aptos" w:hAnsi="Aptos" w:eastAsia="Aptos" w:cs="Aptos"/>
        </w:rPr>
      </w:pPr>
    </w:p>
    <w:p w:rsidRPr="00682E50" w:rsidR="00395EA8" w:rsidP="00682E50" w:rsidRDefault="00395EA8" w14:paraId="7982A305" w14:textId="77777777">
      <w:pPr>
        <w:spacing w:line="240" w:lineRule="auto"/>
        <w:rPr>
          <w:rFonts w:ascii="Aptos" w:hAnsi="Aptos" w:eastAsia="Aptos" w:cs="Aptos"/>
        </w:rPr>
      </w:pPr>
    </w:p>
    <w:p w:rsidRPr="00682E50" w:rsidR="00682E50" w:rsidP="00682E50" w:rsidRDefault="00395EA8" w14:paraId="79465900" w14:textId="05CFF598">
      <w:pPr>
        <w:pStyle w:val="Heading1"/>
        <w:rPr>
          <w:rFonts w:ascii="Aptos" w:hAnsi="Aptos"/>
          <w:sz w:val="22"/>
          <w:szCs w:val="22"/>
        </w:rPr>
      </w:pPr>
      <w:bookmarkStart w:name="_46._Guidance_related" w:id="118"/>
      <w:bookmarkStart w:name="_Guidance_related_to" w:id="119"/>
      <w:bookmarkEnd w:id="118"/>
      <w:r>
        <w:rPr>
          <w:rFonts w:ascii="Aptos" w:hAnsi="Aptos"/>
          <w:sz w:val="22"/>
          <w:szCs w:val="22"/>
        </w:rPr>
        <w:t xml:space="preserve">46:</w:t>
      </w:r>
      <w:bookmarkStart w:name="_Toc242564020" w:id="120"/>
      <w:r>
        <w:rPr>
          <w:rFonts w:ascii="Aptos" w:hAnsi="Aptos"/>
          <w:sz w:val="22"/>
          <w:szCs w:val="22"/>
        </w:rPr>
        <w:fldChar w:fldCharType="begin"/>
      </w:r>
      <w:r>
        <w:rPr>
          <w:rFonts w:ascii="Aptos" w:hAnsi="Aptos"/>
          <w:sz w:val="22"/>
          <w:szCs w:val="22"/>
        </w:rPr>
        <w:instrText>HYPERLINK "https://cites.org/sites/default/files/documents/SC/81/agenda/E-SC81-46.pdf"</w:instrText>
      </w:r>
      <w:r>
        <w:rPr>
          <w:rFonts w:ascii="Aptos" w:hAnsi="Aptos"/>
          <w:sz w:val="22"/>
          <w:szCs w:val="22"/>
        </w:rPr>
        <w:fldChar w:fldCharType="separate"/>
      </w:r>
      <w:r w:rsidRPr="00395EA8" w:rsidR="00682E50">
        <w:rPr>
          <w:rStyle w:val="Hyperlink"/>
          <w:rFonts w:ascii="Aptos" w:hAnsi="Aptos"/>
          <w:sz w:val="22"/>
          <w:szCs w:val="22"/>
        </w:rPr>
        <w:t xml:space="preserve"> Orientación relacionada con los períodos de transición (Decisión 20.119)</w:t>
      </w:r>
      <w:bookmarkEnd w:id="119"/>
      <w:bookmarkEnd w:id="120"/>
      <w:r w:rsidRPr="00395EA8" w:rsidR="00682E50">
        <w:rPr>
          <w:rStyle w:val="Hyperlink"/>
          <w:rFonts w:ascii="Aptos" w:hAnsi="Aptos"/>
          <w:sz w:val="22"/>
          <w:szCs w:val="22"/>
        </w:rPr>
        <w:t xml:space="preserve"> </w:t>
      </w:r>
      <w:r>
        <w:rPr>
          <w:rFonts w:ascii="Aptos" w:hAnsi="Aptos"/>
          <w:sz w:val="22"/>
          <w:szCs w:val="22"/>
        </w:rPr>
        <w:fldChar w:fldCharType="end"/>
      </w:r>
    </w:p>
    <w:p w:rsidR="00682E50" w:rsidP="00682E50" w:rsidRDefault="00682E50" w14:paraId="591E05A4" w14:textId="77777777">
      <w:pPr>
        <w:pStyle w:val="SC81Normal"/>
        <w:spacing w:after="0"/>
      </w:pPr>
    </w:p>
    <w:p w:rsidRPr="00682E50" w:rsidR="00682E50" w:rsidP="00682E50" w:rsidRDefault="00682E50" w14:paraId="1AD1453F" w14:textId="7AFD0E64">
      <w:pPr>
        <w:pStyle w:val="SC81Normal"/>
        <w:spacing w:after="0"/>
      </w:pPr>
      <w:r w:rsidRPr="00682E50">
        <w:t xml:space="preserve">Estamos de acuerdo en que se trata de un tema complicado y que se necesita más debate. Consideramos que el borrador de las orientaciones es aceptable y que debe mantenerse en el sitio web de la CITES. Es fundamental que se cumplan los requisitos relativos a los documentos de la CITES tanto en el momento de la exportación como de la importación, de conformidad con la Convención. Nos preocupa que algunas Partes puedan permitir importaciones después de la fecha de entrada en vigor de la inclusión de una especie en los Apéndices, sin los documentos de la CITES requeridos. Esto contraviene el texto de la Convención. Instamos a las Partes a que brinden instrucciones claras a su personal aduanero y de aplicación de la ley al respecto. Instamos a las Partes a que no adopten ni respalden ninguna opción que permita el comercio de especímenes de la CITES sin los permisos o certificados de la CITES requeridos, a partir de la fecha de entrada en vigor de la inclusión de una especie en los Apéndices.</w:t>
      </w:r>
    </w:p>
    <w:p w:rsidR="00682E50" w:rsidP="00682E50" w:rsidRDefault="00682E50" w14:paraId="664B3C54" w14:textId="77777777">
      <w:pPr>
        <w:pStyle w:val="SC81Normal"/>
        <w:spacing w:after="0"/>
      </w:pPr>
    </w:p>
    <w:p w:rsidRPr="00682E50" w:rsidR="00682E50" w:rsidP="00682E50" w:rsidRDefault="00682E50" w14:paraId="695A391B" w14:textId="6FCB5365">
      <w:pPr>
        <w:pStyle w:val="SC81Normal"/>
        <w:spacing w:after="0"/>
      </w:pPr>
      <w:r w:rsidRPr="00682E50">
        <w:t xml:space="preserve">Apoyaríamos enmiendas a la Resolución Conf. 12.3 (Rev. CoP20) sobre permisos y certificados para incorporar algunos aspectos de la orientación relativa a los períodos de transición, siempre y cuando las opciones propuestas sean coherentes con la Convención. Recomendamos que el Comité de Secretaría respalde las recomendaciones de la Secretaría que figuran en el párrafo 10 del documento.</w:t>
      </w:r>
    </w:p>
    <w:p w:rsidR="00682E50" w:rsidP="00682E50" w:rsidRDefault="00682E50" w14:paraId="454DBBFE" w14:textId="77777777">
      <w:pPr>
        <w:spacing w:line="240" w:lineRule="auto"/>
        <w:rPr>
          <w:rFonts w:ascii="Aptos" w:hAnsi="Aptos" w:eastAsia="Aptos" w:cs="Aptos"/>
        </w:rPr>
      </w:pPr>
    </w:p>
    <w:p w:rsidRPr="00682E50" w:rsidR="00682E50" w:rsidP="00682E50" w:rsidRDefault="00682E50" w14:paraId="65EE7FDD" w14:textId="77777777">
      <w:pPr>
        <w:spacing w:line="240" w:lineRule="auto"/>
        <w:rPr>
          <w:rFonts w:ascii="Aptos" w:hAnsi="Aptos" w:eastAsia="Aptos" w:cs="Aptos"/>
        </w:rPr>
      </w:pPr>
    </w:p>
    <w:p w:rsidRPr="00682E50" w:rsidR="00682E50" w:rsidP="00682E50" w:rsidRDefault="00395EA8" w14:paraId="5231CA6D" w14:textId="125C87CE">
      <w:pPr>
        <w:pStyle w:val="Heading1"/>
        <w:rPr>
          <w:rFonts w:ascii="Aptos" w:hAnsi="Aptos"/>
          <w:sz w:val="22"/>
          <w:szCs w:val="22"/>
        </w:rPr>
      </w:pPr>
      <w:bookmarkStart w:name="_48._Electronic_systems" w:id="121"/>
      <w:bookmarkStart w:name="_Electronic_systems_and" w:id="122"/>
      <w:bookmarkEnd w:id="121"/>
      <w:r>
        <w:rPr>
          <w:rFonts w:ascii="Aptos" w:hAnsi="Aptos"/>
          <w:sz w:val="22"/>
          <w:szCs w:val="22"/>
        </w:rPr>
        <w:t xml:space="preserve">48:</w:t>
      </w:r>
      <w:hyperlink w:history="1" r:id="rId51">
        <w:bookmarkStart w:name="_Toc242564021" w:id="123"/>
        <w:r w:rsidRPr="00682E50" w:rsidR="00682E50">
          <w:rPr>
            <w:rStyle w:val="Hyperlink"/>
            <w:rFonts w:ascii="Aptos" w:hAnsi="Aptos"/>
            <w:sz w:val="22"/>
            <w:szCs w:val="22"/>
          </w:rPr>
          <w:t xml:space="preserve"> Sistemas electrónicos y tecnología de la información (Decisión 20.128)</w:t>
        </w:r>
        <w:bookmarkEnd w:id="122"/>
        <w:bookmarkEnd w:id="123"/>
      </w:hyperlink>
      <w:r w:rsidRPr="00682E50" w:rsidR="00682E50">
        <w:rPr>
          <w:rFonts w:ascii="Aptos" w:hAnsi="Aptos"/>
          <w:sz w:val="22"/>
          <w:szCs w:val="22"/>
        </w:rPr>
        <w:t xml:space="preserve"> </w:t>
      </w:r>
    </w:p>
    <w:p w:rsidR="00682E50" w:rsidP="00682E50" w:rsidRDefault="00682E50" w14:paraId="5F91C477" w14:textId="77777777">
      <w:pPr>
        <w:spacing w:line="240" w:lineRule="auto"/>
        <w:rPr>
          <w:rFonts w:ascii="Aptos" w:hAnsi="Aptos" w:eastAsia="Aptos" w:cs="Aptos"/>
          <w:color w:val="000000" w:themeColor="text1"/>
          <w:lang w:val="en-US"/>
        </w:rPr>
      </w:pPr>
      <w:bookmarkStart w:name="_Rapid_movement_of" w:id="124"/>
    </w:p>
    <w:p w:rsidRPr="00682E50" w:rsidR="00682E50" w:rsidP="00682E50" w:rsidRDefault="00682E50" w14:paraId="5B2F988E" w14:textId="6F565F45">
      <w:pPr>
        <w:spacing w:line="240" w:lineRule="auto"/>
        <w:rPr>
          <w:rFonts w:ascii="Aptos" w:hAnsi="Aptos" w:eastAsia="Aptos" w:cs="Aptos"/>
          <w:color w:val="000000" w:themeColor="text1"/>
          <w:lang w:val="en-US"/>
        </w:rPr>
      </w:pPr>
      <w:r w:rsidRPr="00682E50">
        <w:rPr>
          <w:rFonts w:ascii="Aptos" w:hAnsi="Aptos" w:eastAsia="Aptos" w:cs="Aptos"/>
          <w:color w:val="000000" w:themeColor="text1"/>
          <w:lang w:val="en-US"/>
        </w:rPr>
        <w:t xml:space="preserve">WCS toma nota de los avances logrados en este tema a través del Grupo de Trabajo y por parte de la Secretaría. WCS es miembro del Grupo de Trabajo y está dispuesta a brindar apoyo e información al grupo y al consultor contratado por la Secretaría. La WCS ha recibido recientemente las preguntas del consultor y está aportando información; además, alienta a todas las Partes a participar en este trabajo, ya que los sistemas electrónicos de permisos de la CITES son un aspecto fundamental para reducir las oportunidades de fraude y uso indebido de los permisos, y alentamos a todas las Partes a trabajar para la adopción de los sistemas disponibles.</w:t>
      </w:r>
    </w:p>
    <w:bookmarkEnd w:id="124"/>
    <w:p w:rsidR="00682E50" w:rsidP="00682E50" w:rsidRDefault="00682E50" w14:paraId="4BFC5B13" w14:textId="77777777">
      <w:pPr>
        <w:spacing w:line="240" w:lineRule="auto"/>
        <w:rPr>
          <w:rFonts w:ascii="Aptos" w:hAnsi="Aptos" w:eastAsia="Aptos" w:cs="Aptos"/>
        </w:rPr>
      </w:pPr>
    </w:p>
    <w:p w:rsidRPr="00682E50" w:rsidR="00682E50" w:rsidP="00682E50" w:rsidRDefault="00682E50" w14:paraId="1A5342E7" w14:textId="77777777">
      <w:pPr>
        <w:spacing w:line="240" w:lineRule="auto"/>
        <w:rPr>
          <w:rFonts w:ascii="Aptos" w:hAnsi="Aptos" w:eastAsia="Aptos" w:cs="Aptos"/>
        </w:rPr>
      </w:pPr>
    </w:p>
    <w:p w:rsidRPr="00682E50" w:rsidR="00682E50" w:rsidP="00682E50" w:rsidRDefault="00395EA8" w14:paraId="2B3EB96D" w14:textId="1CB62FF9">
      <w:pPr>
        <w:pStyle w:val="Heading1"/>
        <w:rPr>
          <w:rFonts w:ascii="Aptos" w:hAnsi="Aptos"/>
          <w:sz w:val="22"/>
          <w:szCs w:val="22"/>
        </w:rPr>
      </w:pPr>
      <w:bookmarkStart w:name="_51._Specimens_produced" w:id="125"/>
      <w:bookmarkStart w:name="_Specimens_produced_through" w:id="126"/>
      <w:bookmarkEnd w:id="125"/>
      <w:r>
        <w:rPr>
          <w:rFonts w:ascii="Aptos" w:hAnsi="Aptos"/>
          <w:sz w:val="22"/>
          <w:szCs w:val="22"/>
        </w:rPr>
        <w:t xml:space="preserve">51:</w:t>
      </w:r>
      <w:hyperlink w:history="1" r:id="rId52">
        <w:bookmarkStart w:name="_Toc242564022" w:id="127"/>
        <w:r w:rsidRPr="00682E50" w:rsidR="00682E50">
          <w:rPr>
            <w:rStyle w:val="Hyperlink"/>
            <w:rFonts w:ascii="Aptos" w:hAnsi="Aptos"/>
            <w:sz w:val="22"/>
            <w:szCs w:val="22"/>
          </w:rPr>
          <w:t xml:space="preserve"> Especímenes producidos mediante biotecnología [Decisión 19.161 (Rev. CoP20)]</w:t>
        </w:r>
        <w:bookmarkEnd w:id="126"/>
        <w:bookmarkEnd w:id="127"/>
      </w:hyperlink>
      <w:r w:rsidRPr="00682E50" w:rsidR="00682E50">
        <w:rPr>
          <w:rFonts w:ascii="Aptos" w:hAnsi="Aptos"/>
          <w:sz w:val="22"/>
          <w:szCs w:val="22"/>
        </w:rPr>
        <w:t xml:space="preserve"> </w:t>
      </w:r>
    </w:p>
    <w:p w:rsidR="00682E50" w:rsidP="00682E50" w:rsidRDefault="00682E50" w14:paraId="64178018" w14:textId="77777777">
      <w:pPr>
        <w:spacing w:line="240" w:lineRule="auto"/>
        <w:rPr>
          <w:rFonts w:ascii="Aptos" w:hAnsi="Aptos" w:eastAsia="Aptos" w:cs="Aptos"/>
          <w:lang w:val="en-US"/>
        </w:rPr>
      </w:pPr>
      <w:bookmarkStart w:name="_Disposal_of_confiscated" w:id="128"/>
    </w:p>
    <w:p w:rsidRPr="00682E50" w:rsidR="00682E50" w:rsidP="00682E50" w:rsidRDefault="00682E50" w14:paraId="205C560D" w14:textId="073A5690">
      <w:pPr>
        <w:spacing w:line="240" w:lineRule="auto"/>
        <w:rPr>
          <w:rFonts w:ascii="Aptos" w:hAnsi="Aptos" w:eastAsia="Aptos" w:cs="Aptos"/>
          <w:lang w:val="en-US"/>
        </w:rPr>
      </w:pPr>
      <w:r w:rsidRPr="00682E50">
        <w:rPr>
          <w:rFonts w:ascii="Aptos" w:hAnsi="Aptos" w:eastAsia="Aptos" w:cs="Aptos"/>
          <w:lang w:val="en-US"/>
        </w:rPr>
        <w:t xml:space="preserve">La WCS agradece al Secretariado su análisis del uso de la CITES para regular el comercio de especímenes producidos mediante biotecnología, así como a las Partes y a otros por proporcionar la información pertinente. </w:t>
      </w:r>
    </w:p>
    <w:p w:rsidRPr="00682E50" w:rsidR="00682E50" w:rsidP="00682E50" w:rsidRDefault="00682E50" w14:paraId="115E0731" w14:textId="77777777">
      <w:pPr>
        <w:spacing w:line="240" w:lineRule="auto"/>
        <w:rPr>
          <w:rFonts w:ascii="Aptos" w:hAnsi="Aptos" w:eastAsia="Aptos" w:cs="Aptos"/>
          <w:lang w:val="en-US"/>
        </w:rPr>
      </w:pPr>
      <w:r w:rsidRPr="00682E50">
        <w:rPr>
          <w:rFonts w:ascii="Aptos" w:hAnsi="Aptos" w:eastAsia="Aptos" w:cs="Aptos"/>
          <w:lang w:val="en-US"/>
        </w:rPr>
        <w:t xml:space="preserve">WCS apoya la preparación de un proyecto de directrices sobre la aplicación y el cumplimiento de la Convención en lo que respecta a los especímenes producidos mediante biotecnología.</w:t>
      </w:r>
      <w:bookmarkStart w:name="_Int_cU8t28GU" w:id="129"/>
      <w:r w:rsidRPr="00682E50">
        <w:rPr>
          <w:rFonts w:ascii="Aptos" w:hAnsi="Aptos" w:eastAsia="Aptos" w:cs="Aptos"/>
          <w:lang w:val="en-US"/>
        </w:rPr>
        <w:t xml:space="preserve"> En particular, </w:t>
      </w:r>
      <w:r w:rsidRPr="00682E50">
        <w:rPr>
          <w:rFonts w:ascii="Aptos" w:hAnsi="Aptos" w:eastAsia="Aptos" w:cs="Aptos"/>
          <w:lang w:val="en-US"/>
        </w:rPr>
        <w:t xml:space="preserve">se necesitan </w:t>
      </w:r>
      <w:r w:rsidRPr="00682E50">
        <w:rPr>
          <w:rFonts w:ascii="Aptos" w:hAnsi="Aptos" w:eastAsia="Aptos" w:cs="Aptos"/>
          <w:lang w:val="en-US"/>
        </w:rPr>
        <w:t xml:space="preserve">directrices</w:t>
      </w:r>
      <w:bookmarkEnd w:id="129"/>
      <w:r w:rsidRPr="00682E50">
        <w:rPr>
          <w:rFonts w:ascii="Aptos" w:hAnsi="Aptos" w:eastAsia="Aptos" w:cs="Aptos"/>
          <w:lang w:val="en-US"/>
        </w:rPr>
        <w:t xml:space="preserve"> para dejar inequívocamente claro que </w:t>
      </w:r>
      <w:r w:rsidRPr="00682E50">
        <w:rPr>
          <w:rFonts w:ascii="Aptos" w:hAnsi="Aptos" w:eastAsia="Aptos" w:cs="Aptos"/>
          <w:u w:val="single"/>
          <w:lang w:val="en-US"/>
        </w:rPr>
        <w:t xml:space="preserve">todos </w:t>
      </w:r>
      <w:r w:rsidRPr="00682E50">
        <w:rPr>
          <w:rFonts w:ascii="Aptos" w:hAnsi="Aptos" w:eastAsia="Aptos" w:cs="Aptos"/>
          <w:lang w:val="en-US"/>
        </w:rPr>
        <w:t xml:space="preserve">los especímenes producidos mediante biotecnología que estén vinculados de alguna manera a una especie incluida en la CITES, incluso si no se derivan directamente de ella, deben estar sujetos a la jurisdicción de la CITES. Esto tiene por objeto eliminar el riesgo de que especímenes naturales de origen ilegal se hagan pasar por sintéticos (párrafos 14 y 15).</w:t>
      </w:r>
      <w:bookmarkStart w:name="_Int_DgdDHnai" w:id="130"/>
      <w:r w:rsidRPr="00682E50">
        <w:rPr>
          <w:rFonts w:ascii="Aptos" w:hAnsi="Aptos" w:eastAsia="Aptos" w:cs="Aptos"/>
          <w:lang w:val="en-US"/>
        </w:rPr>
        <w:t xml:space="preserve"> En particular, los especímenes</w:t>
      </w:r>
      <w:bookmarkEnd w:id="130"/>
      <w:r w:rsidRPr="00682E50">
        <w:rPr>
          <w:rFonts w:ascii="Aptos" w:hAnsi="Aptos" w:eastAsia="Aptos" w:cs="Aptos"/>
          <w:lang w:val="en-US"/>
        </w:rPr>
        <w:t xml:space="preserve"> producidos utilizando únicamente la información genética de una especie incluida en la CITES deben</w:t>
      </w:r>
      <w:bookmarkStart w:name="_Int_cZVOR7WN" w:id="131"/>
      <w:r w:rsidRPr="00682E50">
        <w:rPr>
          <w:rFonts w:ascii="Aptos" w:hAnsi="Aptos" w:eastAsia="Aptos" w:cs="Aptos"/>
          <w:lang w:val="en-US"/>
        </w:rPr>
        <w:t xml:space="preserve"> considerarse</w:t>
      </w:r>
      <w:bookmarkEnd w:id="131"/>
      <w:r w:rsidRPr="00682E50">
        <w:rPr>
          <w:rFonts w:ascii="Aptos" w:hAnsi="Aptos" w:eastAsia="Aptos" w:cs="Aptos"/>
          <w:lang w:val="en-US"/>
        </w:rPr>
        <w:t xml:space="preserve"> dentro del alcance de las regulaciones de la CITES.</w:t>
      </w:r>
      <w:r w:rsidRPr="00682E50">
        <w:rPr>
          <w:rFonts w:ascii="Aptos" w:hAnsi="Aptos" w:eastAsia="Aptos" w:cs="Aptos"/>
          <w:lang w:val="en-US"/>
        </w:rPr>
        <w:lastRenderedPageBreak/>
      </w:r>
      <w:r w:rsidRPr="00682E50">
        <w:rPr>
          <w:rFonts w:ascii="Aptos" w:hAnsi="Aptos" w:eastAsia="Aptos" w:cs="Aptos"/>
          <w:lang w:val="en-US"/>
        </w:rPr>
        <w:t xml:space="preserve"> La razón es que cualquier producto (por ejemplo, el cuerno de rinoceronte) podría producirse utilizando únicamente información genética y, si quedara fuera del ámbito de aplicación de la CITES, venderse ampliamente. Sería genéticamente idéntico a los artículos derivados de especies silvestres, por lo que sería imposible para los funcionarios encargados de hacer cumplir la ley distinguir entre los productos de origen silvestre blanqueados ilegalmente y el producto creado mediante bioingeniería. </w:t>
      </w:r>
    </w:p>
    <w:p w:rsidR="00682E50" w:rsidP="00682E50" w:rsidRDefault="00682E50" w14:paraId="50E14AC9" w14:textId="77777777">
      <w:pPr>
        <w:spacing w:line="240" w:lineRule="auto"/>
        <w:rPr>
          <w:rFonts w:ascii="Aptos" w:hAnsi="Aptos" w:eastAsia="Aptos" w:cs="Aptos"/>
        </w:rPr>
      </w:pPr>
    </w:p>
    <w:p w:rsidR="00395EA8" w:rsidP="00682E50" w:rsidRDefault="00682E50" w14:paraId="67078DFD" w14:textId="77777777">
      <w:pPr>
        <w:spacing w:line="240" w:lineRule="auto"/>
        <w:rPr>
          <w:rFonts w:ascii="Aptos" w:hAnsi="Aptos" w:eastAsia="Aptos" w:cs="Aptos"/>
        </w:rPr>
      </w:pPr>
      <w:r w:rsidRPr="00682E50">
        <w:rPr>
          <w:rFonts w:ascii="Aptos" w:hAnsi="Aptos" w:eastAsia="Aptos" w:cs="Aptos"/>
        </w:rPr>
        <w:t xml:space="preserve">WCS estaría encantada de contribuir a la redacción de dichas directrices si fuera necesario.</w:t>
      </w:r>
      <w:r w:rsidRPr="00682E50">
        <w:rPr>
          <w:rFonts w:ascii="Aptos" w:hAnsi="Aptos"/>
        </w:rPr>
        <w:br/>
      </w:r>
      <w:r w:rsidRPr="00682E50">
        <w:rPr>
          <w:rFonts w:ascii="Aptos" w:hAnsi="Aptos" w:eastAsia="Aptos" w:cs="Aptos"/>
        </w:rPr>
        <w:t xml:space="preserve"> </w:t>
      </w:r>
    </w:p>
    <w:p w:rsidR="00395EA8" w:rsidP="00682E50" w:rsidRDefault="00395EA8" w14:paraId="33C09ED3" w14:textId="77777777">
      <w:pPr>
        <w:spacing w:line="240" w:lineRule="auto"/>
        <w:rPr>
          <w:rFonts w:ascii="Aptos" w:hAnsi="Aptos" w:eastAsia="Aptos" w:cs="Aptos"/>
        </w:rPr>
      </w:pPr>
    </w:p>
    <w:p w:rsidRPr="00395EA8" w:rsidR="00682E50" w:rsidP="00682E50" w:rsidRDefault="00395EA8" w14:paraId="5F46ADCD" w14:textId="3A9C9954">
      <w:pPr>
        <w:spacing w:line="240" w:lineRule="auto"/>
        <w:rPr>
          <w:rFonts w:ascii="Aptos" w:hAnsi="Aptos" w:eastAsia="Aptos" w:cs="Aptos"/>
        </w:rPr>
      </w:pPr>
      <w:r w:rsidRPr="00395EA8">
        <w:rPr>
          <w:rFonts w:ascii="Aptos" w:hAnsi="Aptos" w:eastAsia="Aptos" w:cs="Aptos"/>
          <w:b/>
          <w:bCs/>
        </w:rPr>
        <w:t xml:space="preserve">52: </w:t>
      </w:r>
      <w:hyperlink r:id="rId53">
        <w:r w:rsidRPr="00682E50" w:rsidR="00682E50">
          <w:rPr>
            <w:rStyle w:val="Hyperlink"/>
            <w:rFonts w:ascii="Aptos" w:hAnsi="Aptos"/>
            <w:b/>
            <w:bCs/>
          </w:rPr>
          <w:t xml:space="preserve">Eliminación de especímenes decomisados (Decisión 19.173)</w:t>
        </w:r>
        <w:bookmarkEnd w:id="128"/>
      </w:hyperlink>
    </w:p>
    <w:p w:rsidR="00682E50" w:rsidP="00682E50" w:rsidRDefault="00682E50" w14:paraId="64DFBE70" w14:textId="77777777">
      <w:pPr>
        <w:spacing w:line="240" w:lineRule="auto"/>
        <w:rPr>
          <w:rFonts w:ascii="Aptos" w:hAnsi="Aptos" w:eastAsia="Aptos" w:cs="Aptos"/>
          <w:color w:val="000000" w:themeColor="text1"/>
          <w:lang w:val="en-US"/>
        </w:rPr>
      </w:pPr>
    </w:p>
    <w:p w:rsidRPr="00682E50" w:rsidR="00682E50" w:rsidP="00682E50" w:rsidRDefault="00682E50" w14:paraId="35868ADC" w14:textId="6DFED935">
      <w:pPr>
        <w:spacing w:line="240" w:lineRule="auto"/>
        <w:rPr>
          <w:rFonts w:ascii="Aptos" w:hAnsi="Aptos" w:eastAsia="Aptos" w:cs="Aptos"/>
          <w:color w:val="000000" w:themeColor="text1"/>
          <w:lang w:val="en-US"/>
        </w:rPr>
      </w:pPr>
      <w:r w:rsidRPr="00682E50">
        <w:rPr>
          <w:rFonts w:ascii="Aptos" w:hAnsi="Aptos" w:eastAsia="Aptos" w:cs="Aptos"/>
          <w:color w:val="000000" w:themeColor="text1"/>
          <w:lang w:val="en-US"/>
        </w:rPr>
        <w:t xml:space="preserve">WCS apoya que este debate siga avanzando y respalda las recomendaciones presentadas por la Secretaría en el documento SC81 Doc. 52. </w:t>
      </w:r>
    </w:p>
    <w:p w:rsidR="00682E50" w:rsidP="00682E50" w:rsidRDefault="00682E50" w14:paraId="0589D74B" w14:textId="77777777">
      <w:pPr>
        <w:spacing w:line="240" w:lineRule="auto"/>
        <w:rPr>
          <w:rFonts w:ascii="Aptos" w:hAnsi="Aptos" w:eastAsia="Aptos" w:cs="Aptos"/>
          <w:b/>
          <w:bCs/>
        </w:rPr>
      </w:pPr>
    </w:p>
    <w:p w:rsidRPr="00682E50" w:rsidR="00682E50" w:rsidP="00682E50" w:rsidRDefault="00682E50" w14:paraId="3FC462BD" w14:textId="77777777">
      <w:pPr>
        <w:spacing w:line="240" w:lineRule="auto"/>
        <w:rPr>
          <w:rFonts w:ascii="Aptos" w:hAnsi="Aptos" w:eastAsia="Aptos" w:cs="Aptos"/>
          <w:b/>
          <w:bCs/>
        </w:rPr>
      </w:pPr>
    </w:p>
    <w:p w:rsidR="00682E50" w:rsidP="00682E50" w:rsidRDefault="00682E50" w14:paraId="141502A9" w14:textId="77777777">
      <w:pPr>
        <w:pStyle w:val="Heading1"/>
        <w:rPr>
          <w:rFonts w:ascii="Aptos" w:hAnsi="Aptos"/>
          <w:sz w:val="22"/>
          <w:szCs w:val="22"/>
        </w:rPr>
      </w:pPr>
      <w:bookmarkStart w:name="_Registration_of_operations" w:id="132"/>
      <w:bookmarkStart w:name="_Toc242564023" w:id="133"/>
      <w:r w:rsidRPr="00682E50">
        <w:rPr>
          <w:rFonts w:ascii="Aptos" w:hAnsi="Aptos"/>
          <w:sz w:val="22"/>
          <w:szCs w:val="22"/>
        </w:rPr>
        <w:t xml:space="preserve">53. Registro de las operaciones que crían en cautiverio especies animales del Apéndice I con fines comerciales [Resolución Conf. 12.10 (Rev. CoP20)]</w:t>
      </w:r>
      <w:bookmarkEnd w:id="132"/>
      <w:bookmarkEnd w:id="133"/>
      <w:r w:rsidRPr="00682E50">
        <w:rPr>
          <w:rFonts w:ascii="Aptos" w:hAnsi="Aptos"/>
          <w:sz w:val="22"/>
          <w:szCs w:val="22"/>
        </w:rPr>
        <w:t xml:space="preserve"> </w:t>
      </w:r>
    </w:p>
    <w:p w:rsidRPr="00682E50" w:rsidR="00682E50" w:rsidP="00682E50" w:rsidRDefault="00682E50" w14:paraId="3F7BA171" w14:textId="77777777"/>
    <w:p w:rsidRPr="00682E50" w:rsidR="00682E50" w:rsidP="00682E50" w:rsidRDefault="00682E50" w14:paraId="0513B988" w14:textId="250567CE">
      <w:pPr>
        <w:pStyle w:val="Heading1"/>
        <w:rPr>
          <w:rFonts w:ascii="Aptos" w:hAnsi="Aptos"/>
          <w:i/>
          <w:iCs/>
          <w:sz w:val="22"/>
          <w:szCs w:val="22"/>
        </w:rPr>
      </w:pPr>
      <w:bookmarkStart w:name="_53.2._Registration_of" w:id="134"/>
      <w:bookmarkStart w:name="_Toc242564024" w:id="135"/>
      <w:bookmarkEnd w:id="134"/>
      <w:r>
        <w:rPr>
          <w:rFonts w:ascii="Aptos" w:hAnsi="Aptos"/>
          <w:sz w:val="22"/>
          <w:szCs w:val="22"/>
        </w:rPr>
        <w:t xml:space="preserve">53.2. </w:t>
      </w:r>
      <w:hyperlink w:history="1" r:id="rId54">
        <w:r w:rsidRPr="00682E50">
          <w:rPr>
            <w:rStyle w:val="Hyperlink"/>
            <w:rFonts w:ascii="Aptos" w:hAnsi="Aptos"/>
            <w:sz w:val="22"/>
            <w:szCs w:val="22"/>
          </w:rPr>
          <w:t xml:space="preserve">Registro de la operación «Special Turtles» (Italia) dedicada a la cría de </w:t>
        </w:r>
        <w:r w:rsidRPr="00682E50">
          <w:rPr>
            <w:rStyle w:val="Hyperlink"/>
            <w:rFonts w:ascii="Aptos" w:hAnsi="Aptos"/>
            <w:i/>
            <w:iCs/>
            <w:sz w:val="22"/>
            <w:szCs w:val="22"/>
          </w:rPr>
          <w:t xml:space="preserve">Astrochelys </w:t>
        </w:r>
        <w:r w:rsidRPr="00682E50">
          <w:rPr>
            <w:rStyle w:val="Hyperlink"/>
            <w:rFonts w:ascii="Aptos" w:hAnsi="Aptos"/>
            <w:i/>
            <w:iCs/>
            <w:sz w:val="22"/>
            <w:szCs w:val="22"/>
          </w:rPr>
          <w:t xml:space="preserve">radiata, </w:t>
        </w:r>
        <w:r w:rsidRPr="00682E50">
          <w:rPr>
            <w:rStyle w:val="Hyperlink"/>
            <w:rFonts w:ascii="Aptos" w:hAnsi="Aptos"/>
            <w:i/>
            <w:iCs/>
            <w:sz w:val="22"/>
            <w:szCs w:val="22"/>
          </w:rPr>
          <w:t xml:space="preserve">Geochelone </w:t>
        </w:r>
        <w:r w:rsidRPr="00682E50">
          <w:rPr>
            <w:rStyle w:val="Hyperlink"/>
            <w:rFonts w:ascii="Aptos" w:hAnsi="Aptos"/>
            <w:i/>
            <w:iCs/>
            <w:sz w:val="22"/>
            <w:szCs w:val="22"/>
          </w:rPr>
          <w:t xml:space="preserve">elegans, </w:t>
        </w:r>
        <w:r w:rsidRPr="00682E50">
          <w:rPr>
            <w:rStyle w:val="Hyperlink"/>
            <w:rFonts w:ascii="Aptos" w:hAnsi="Aptos"/>
            <w:i/>
            <w:iCs/>
            <w:sz w:val="22"/>
            <w:szCs w:val="22"/>
          </w:rPr>
          <w:t xml:space="preserve">Malacochersus </w:t>
        </w:r>
        <w:r w:rsidRPr="00682E50">
          <w:rPr>
            <w:rStyle w:val="Hyperlink"/>
            <w:rFonts w:ascii="Aptos" w:hAnsi="Aptos"/>
            <w:i/>
            <w:iCs/>
            <w:sz w:val="22"/>
            <w:szCs w:val="22"/>
          </w:rPr>
          <w:t xml:space="preserve">tornieri </w:t>
        </w:r>
        <w:r w:rsidRPr="00682E50">
          <w:rPr>
            <w:rStyle w:val="Hyperlink"/>
            <w:rFonts w:ascii="Aptos" w:hAnsi="Aptos"/>
            <w:sz w:val="22"/>
            <w:szCs w:val="22"/>
          </w:rPr>
          <w:t xml:space="preserve">y </w:t>
        </w:r>
        <w:r w:rsidRPr="00682E50">
          <w:rPr>
            <w:rStyle w:val="Hyperlink"/>
            <w:rFonts w:ascii="Aptos" w:hAnsi="Aptos"/>
            <w:i/>
            <w:iCs/>
            <w:sz w:val="22"/>
            <w:szCs w:val="22"/>
          </w:rPr>
          <w:t xml:space="preserve">Testudo </w:t>
        </w:r>
        <w:r w:rsidRPr="00682E50">
          <w:rPr>
            <w:rStyle w:val="Hyperlink"/>
            <w:rFonts w:ascii="Aptos" w:hAnsi="Aptos"/>
            <w:i/>
            <w:iCs/>
            <w:sz w:val="22"/>
            <w:szCs w:val="22"/>
          </w:rPr>
          <w:t xml:space="preserve">kleinmanni</w:t>
        </w:r>
        <w:bookmarkEnd w:id="135"/>
      </w:hyperlink>
    </w:p>
    <w:p w:rsidR="00682E50" w:rsidP="00682E50" w:rsidRDefault="00682E50" w14:paraId="6147E823" w14:textId="77777777">
      <w:pPr>
        <w:spacing w:line="240" w:lineRule="auto"/>
        <w:rPr>
          <w:rFonts w:ascii="Aptos" w:hAnsi="Aptos" w:eastAsia="Aptos" w:cs="Aptos"/>
          <w:lang w:val="en-US"/>
        </w:rPr>
      </w:pPr>
    </w:p>
    <w:p w:rsidRPr="00682E50" w:rsidR="00682E50" w:rsidP="00682E50" w:rsidRDefault="00682E50" w14:paraId="60C1495B" w14:textId="71C658C1">
      <w:pPr>
        <w:spacing w:line="240" w:lineRule="auto"/>
        <w:rPr>
          <w:rFonts w:ascii="Aptos" w:hAnsi="Aptos"/>
        </w:rPr>
      </w:pPr>
      <w:r w:rsidRPr="00682E50">
        <w:rPr>
          <w:rFonts w:ascii="Aptos" w:hAnsi="Aptos" w:eastAsia="Aptos" w:cs="Aptos"/>
          <w:lang w:val="en-US"/>
        </w:rPr>
        <w:t xml:space="preserve">Observamos con preocupación las objeciones planteadas al registro de esta instalación por parte de Israel y Madagascar —dos de los Estados del área de distribución de estas especies incluidas en el Apéndice I, en peligro o en peligro crítico de extinción—, así como por otras Partes.   </w:t>
      </w:r>
    </w:p>
    <w:p w:rsidR="00682E50" w:rsidP="00682E50" w:rsidRDefault="00682E50" w14:paraId="304CB5E6" w14:textId="77777777">
      <w:pPr>
        <w:spacing w:line="240" w:lineRule="auto"/>
        <w:rPr>
          <w:rFonts w:ascii="Aptos" w:hAnsi="Aptos" w:eastAsia="Aptos" w:cs="Aptos"/>
          <w:i/>
          <w:iCs/>
          <w:lang w:val="en-US"/>
        </w:rPr>
      </w:pPr>
    </w:p>
    <w:p w:rsidRPr="00682E50" w:rsidR="00682E50" w:rsidP="00682E50" w:rsidRDefault="00682E50" w14:paraId="722815AD" w14:textId="1EA16281">
      <w:pPr>
        <w:spacing w:line="240" w:lineRule="auto"/>
        <w:rPr>
          <w:rFonts w:ascii="Aptos" w:hAnsi="Aptos"/>
        </w:rPr>
      </w:pPr>
      <w:r w:rsidRPr="00682E50">
        <w:rPr>
          <w:rFonts w:ascii="Aptos" w:hAnsi="Aptos" w:eastAsia="Aptos" w:cs="Aptos"/>
          <w:i/>
          <w:iCs/>
          <w:lang w:val="en-US"/>
        </w:rPr>
        <w:t xml:space="preserve">Astrochelys </w:t>
      </w:r>
      <w:r w:rsidRPr="00682E50">
        <w:rPr>
          <w:rFonts w:ascii="Aptos" w:hAnsi="Aptos" w:eastAsia="Aptos" w:cs="Aptos"/>
          <w:i/>
          <w:iCs/>
          <w:lang w:val="en-US"/>
        </w:rPr>
        <w:t xml:space="preserve">radiata </w:t>
      </w:r>
      <w:r w:rsidRPr="00682E50">
        <w:rPr>
          <w:rFonts w:ascii="Aptos" w:hAnsi="Aptos" w:eastAsia="Aptos" w:cs="Aptos"/>
          <w:lang w:val="en-US"/>
        </w:rPr>
        <w:t xml:space="preserve">(tortuga radiada) es una especie endémica protegida en Madagascar. </w:t>
      </w:r>
      <w:r w:rsidRPr="00682E50">
        <w:rPr>
          <w:rFonts w:ascii="Aptos" w:hAnsi="Aptos" w:eastAsia="Aptos" w:cs="Aptos"/>
          <w:i/>
          <w:iCs/>
          <w:lang w:val="en-US"/>
        </w:rPr>
        <w:t xml:space="preserve">Malacochersus </w:t>
      </w:r>
      <w:r w:rsidRPr="00682E50">
        <w:rPr>
          <w:rFonts w:ascii="Aptos" w:hAnsi="Aptos" w:eastAsia="Aptos" w:cs="Aptos"/>
          <w:i/>
          <w:iCs/>
          <w:lang w:val="en-US"/>
        </w:rPr>
        <w:t xml:space="preserve">tornieri </w:t>
      </w:r>
      <w:r w:rsidRPr="00682E50">
        <w:rPr>
          <w:rFonts w:ascii="Aptos" w:hAnsi="Aptos" w:eastAsia="Aptos" w:cs="Aptos"/>
          <w:i/>
          <w:iCs/>
          <w:lang w:val="en-US"/>
        </w:rPr>
        <w:t xml:space="preserve">(</w:t>
      </w:r>
      <w:r w:rsidRPr="00682E50">
        <w:rPr>
          <w:rFonts w:ascii="Aptos" w:hAnsi="Aptos" w:eastAsia="Aptos" w:cs="Aptos"/>
          <w:lang w:val="en-US"/>
        </w:rPr>
        <w:t xml:space="preserve">tortuga panqueque) es nativa únicamente de hábitats específicos en Kenia y Tanzania. </w:t>
      </w:r>
      <w:r w:rsidRPr="00682E50">
        <w:rPr>
          <w:rFonts w:ascii="Aptos" w:hAnsi="Aptos" w:eastAsia="Aptos" w:cs="Aptos"/>
          <w:i/>
          <w:iCs/>
          <w:lang w:val="en-US"/>
        </w:rPr>
        <w:t xml:space="preserve">Testudo </w:t>
      </w:r>
      <w:r w:rsidRPr="00682E50">
        <w:rPr>
          <w:rFonts w:ascii="Aptos" w:hAnsi="Aptos" w:eastAsia="Aptos" w:cs="Aptos"/>
          <w:i/>
          <w:iCs/>
          <w:lang w:val="en-US"/>
        </w:rPr>
        <w:t xml:space="preserve">kleinmanni </w:t>
      </w:r>
      <w:r w:rsidRPr="00682E50">
        <w:rPr>
          <w:rFonts w:ascii="Aptos" w:hAnsi="Aptos" w:eastAsia="Aptos" w:cs="Aptos"/>
          <w:lang w:val="en-US"/>
        </w:rPr>
        <w:t xml:space="preserve">es nativa de Israel, Egipto y Libia, y se ha extinguido en Egipto al oeste del río Nilo. Las tres especies se encuentran en peligro crítico de extinción en la Lista Roja de Especies Amenazadas de la UICN, con poblaciones en disminución; la captura ilegal para el comercio de mascotas es una amenaza dominante para estas especies.</w:t>
      </w:r>
    </w:p>
    <w:p w:rsidRPr="00682E50" w:rsidR="00682E50" w:rsidP="00682E50" w:rsidRDefault="00682E50" w14:paraId="06D48417" w14:textId="77777777">
      <w:pPr>
        <w:spacing w:line="240" w:lineRule="auto"/>
        <w:rPr>
          <w:rFonts w:ascii="Aptos" w:hAnsi="Aptos"/>
        </w:rPr>
      </w:pPr>
      <w:r w:rsidRPr="00682E50">
        <w:rPr>
          <w:rFonts w:ascii="Aptos" w:hAnsi="Aptos" w:eastAsia="Aptos" w:cs="Aptos"/>
          <w:lang w:val="en-US"/>
        </w:rPr>
        <w:t xml:space="preserve">Recalcamos que, para que un espécimen criado en cautiverio pueda comercializarse legalmente, debe haber evidencia de que el stock fundador de su material genético fue obtenido legalmente del medio silvestre. La evidencia proporcionada por el solicitante no demuestra una conexión plausible entre las exportaciones legales y documentadas del stock fundador procedente del medio silvestre y el origen del stock reproductor que produjo los especímenes en esta instalación.   </w:t>
      </w:r>
    </w:p>
    <w:p w:rsidR="00682E50" w:rsidP="00682E50" w:rsidRDefault="00682E50" w14:paraId="158D33A6" w14:textId="77777777">
      <w:pPr>
        <w:spacing w:line="240" w:lineRule="auto"/>
        <w:rPr>
          <w:rFonts w:ascii="Aptos" w:hAnsi="Aptos" w:eastAsia="Aptos" w:cs="Aptos"/>
          <w:lang w:val="en-US"/>
        </w:rPr>
      </w:pPr>
    </w:p>
    <w:p w:rsidRPr="00682E50" w:rsidR="00682E50" w:rsidP="00682E50" w:rsidRDefault="00682E50" w14:paraId="21DC0B99" w14:textId="09EAF387">
      <w:pPr>
        <w:spacing w:line="240" w:lineRule="auto"/>
        <w:rPr>
          <w:rFonts w:ascii="Aptos" w:hAnsi="Aptos"/>
        </w:rPr>
      </w:pPr>
      <w:r w:rsidRPr="00682E50">
        <w:rPr>
          <w:rFonts w:ascii="Aptos" w:hAnsi="Aptos" w:eastAsia="Aptos" w:cs="Aptos"/>
          <w:lang w:val="en-US"/>
        </w:rPr>
        <w:t xml:space="preserve">La documentación incluida en el registro de Italia se limita a la documentación de la CITES dentro de la UE y a las entradas en la Base de Datos Comercial de la CITES, pero no proporciona evidencia sobre la fuente o la vía por la que los ejemplares fundadores ingresaron a la Unión Europea. Esto es particularmente cierto en el caso de </w:t>
      </w:r>
      <w:r w:rsidRPr="00682E50">
        <w:rPr>
          <w:rFonts w:ascii="Aptos" w:hAnsi="Aptos" w:eastAsia="Aptos" w:cs="Aptos"/>
          <w:i/>
          <w:iCs/>
          <w:lang w:val="en-US"/>
        </w:rPr>
        <w:t xml:space="preserve">A. radiata </w:t>
      </w:r>
      <w:r w:rsidRPr="00682E50">
        <w:rPr>
          <w:rFonts w:ascii="Aptos" w:hAnsi="Aptos" w:eastAsia="Aptos" w:cs="Aptos"/>
          <w:lang w:val="en-US"/>
        </w:rPr>
        <w:t xml:space="preserve">y </w:t>
      </w:r>
      <w:r w:rsidRPr="00682E50">
        <w:rPr>
          <w:rFonts w:ascii="Aptos" w:hAnsi="Aptos" w:eastAsia="Aptos" w:cs="Aptos"/>
          <w:i/>
          <w:iCs/>
          <w:lang w:val="en-US"/>
        </w:rPr>
        <w:t xml:space="preserve">T. </w:t>
      </w:r>
      <w:r w:rsidRPr="00682E50">
        <w:rPr>
          <w:rFonts w:ascii="Aptos" w:hAnsi="Aptos" w:eastAsia="Aptos" w:cs="Aptos"/>
          <w:i/>
          <w:iCs/>
          <w:lang w:val="en-US"/>
        </w:rPr>
        <w:t xml:space="preserve">kleinmanni</w:t>
      </w:r>
      <w:r w:rsidRPr="00682E50">
        <w:rPr>
          <w:rFonts w:ascii="Aptos" w:hAnsi="Aptos" w:eastAsia="Aptos" w:cs="Aptos"/>
          <w:lang w:val="en-US"/>
        </w:rPr>
        <w:t xml:space="preserve">, que fueron incluidas en el Apéndice I en 1975 y 1995, respectivamente. Observamos que, desde que entró en vigor la CITES, nunca ha existido un comercio internacional legal de </w:t>
      </w:r>
      <w:r w:rsidRPr="00682E50">
        <w:rPr>
          <w:rFonts w:ascii="Aptos" w:hAnsi="Aptos" w:eastAsia="Aptos" w:cs="Aptos"/>
          <w:i/>
          <w:iCs/>
          <w:lang w:val="en-US"/>
        </w:rPr>
        <w:t xml:space="preserve">A. radiata </w:t>
      </w:r>
      <w:r w:rsidRPr="00682E50">
        <w:rPr>
          <w:rFonts w:ascii="Aptos" w:hAnsi="Aptos" w:eastAsia="Aptos" w:cs="Aptos"/>
          <w:lang w:val="en-US"/>
        </w:rPr>
        <w:t xml:space="preserve">procedente del medio silvestre, y no ha habido comercio internacional legal de </w:t>
      </w:r>
      <w:r w:rsidRPr="00682E50">
        <w:rPr>
          <w:rFonts w:ascii="Aptos" w:hAnsi="Aptos" w:eastAsia="Aptos" w:cs="Aptos"/>
          <w:i/>
          <w:iCs/>
          <w:lang w:val="en-US"/>
        </w:rPr>
        <w:t xml:space="preserve">T. </w:t>
      </w:r>
      <w:r w:rsidRPr="00682E50">
        <w:rPr>
          <w:rFonts w:ascii="Aptos" w:hAnsi="Aptos" w:eastAsia="Aptos" w:cs="Aptos"/>
          <w:i/>
          <w:iCs/>
          <w:lang w:val="en-US"/>
        </w:rPr>
        <w:t xml:space="preserve">kleinmanni </w:t>
      </w:r>
      <w:r w:rsidRPr="00682E50">
        <w:rPr>
          <w:rFonts w:ascii="Aptos" w:hAnsi="Aptos" w:eastAsia="Aptos" w:cs="Aptos"/>
          <w:lang w:val="en-US"/>
        </w:rPr>
        <w:t xml:space="preserve">desde 1995, es decir, durante los últimos 31 años.</w:t>
      </w:r>
    </w:p>
    <w:p w:rsidR="00682E50" w:rsidP="00682E50" w:rsidRDefault="00682E50" w14:paraId="44916C08" w14:textId="77777777">
      <w:pPr>
        <w:spacing w:line="240" w:lineRule="auto"/>
        <w:rPr>
          <w:rFonts w:ascii="Aptos" w:hAnsi="Aptos" w:eastAsia="Aptos" w:cs="Aptos"/>
          <w:lang w:val="en-US"/>
        </w:rPr>
      </w:pPr>
    </w:p>
    <w:p w:rsidRPr="00682E50" w:rsidR="00682E50" w:rsidP="00682E50" w:rsidRDefault="00682E50" w14:paraId="11B5AAA0" w14:textId="65032438">
      <w:pPr>
        <w:spacing w:line="240" w:lineRule="auto"/>
        <w:rPr>
          <w:rFonts w:ascii="Aptos" w:hAnsi="Aptos"/>
        </w:rPr>
      </w:pPr>
      <w:r w:rsidRPr="00682E50">
        <w:rPr>
          <w:rFonts w:ascii="Aptos" w:hAnsi="Aptos" w:eastAsia="Aptos" w:cs="Aptos"/>
          <w:lang w:val="en-US"/>
        </w:rPr>
        <w:t xml:space="preserve">Se requiere evidencia adicional para demostrar claramente que la población fundadora y la población parental se obtuvieron de conformidad con las medidas nacionales pertinentes y las disposiciones de la Convención. A falta de dicha información, no vemos cómo la instalación cumple con los requisitos de la Resolución Conf. 12.10 (Rev. CoP15), incluida la presentación de la información requerida en el Anexo 1 de la Resolución.</w:t>
      </w:r>
    </w:p>
    <w:p w:rsidR="00682E50" w:rsidP="00682E50" w:rsidRDefault="00682E50" w14:paraId="4E907B0E" w14:textId="77777777">
      <w:pPr>
        <w:spacing w:line="240" w:lineRule="auto"/>
        <w:rPr>
          <w:rFonts w:ascii="Aptos" w:hAnsi="Aptos" w:eastAsia="Aptos" w:cs="Aptos"/>
          <w:lang w:val="en-US"/>
        </w:rPr>
      </w:pPr>
    </w:p>
    <w:p w:rsidRPr="00682E50" w:rsidR="00682E50" w:rsidP="00682E50" w:rsidRDefault="00682E50" w14:paraId="015F7EE4" w14:textId="19EA5A22">
      <w:pPr>
        <w:spacing w:line="240" w:lineRule="auto"/>
      </w:pPr>
      <w:r w:rsidRPr="5403C073">
        <w:rPr>
          <w:rFonts w:ascii="Aptos" w:hAnsi="Aptos" w:eastAsia="Aptos" w:cs="Aptos"/>
          <w:lang w:val="en-US"/>
        </w:rPr>
        <w:t xml:space="preserve">Si bien reconocemos que estas especies pueden reproducirse en cautiverio, también observamos que las cuatro especies son objeto de comercio ilegal (incluso hacia Europa, donde se encuentra esta instalación).  </w:t>
      </w:r>
    </w:p>
    <w:p w:rsidR="5403C073" w:rsidP="5403C073" w:rsidRDefault="5403C073" w14:paraId="22FE87D2" w14:textId="24A288A5">
      <w:pPr>
        <w:spacing w:line="240" w:lineRule="auto"/>
        <w:rPr>
          <w:rFonts w:ascii="Aptos" w:hAnsi="Aptos" w:eastAsia="Aptos" w:cs="Aptos"/>
          <w:lang w:val="en-US"/>
        </w:rPr>
      </w:pPr>
    </w:p>
    <w:p w:rsidRPr="00682E50" w:rsidR="00682E50" w:rsidP="00682E50" w:rsidRDefault="00682E50" w14:paraId="47939E3C" w14:textId="77777777">
      <w:pPr>
        <w:spacing w:line="240" w:lineRule="auto"/>
        <w:rPr>
          <w:rFonts w:ascii="Aptos" w:hAnsi="Aptos"/>
        </w:rPr>
      </w:pPr>
      <w:r w:rsidRPr="00682E50">
        <w:rPr>
          <w:rFonts w:ascii="Aptos" w:hAnsi="Aptos" w:eastAsia="Aptos" w:cs="Aptos"/>
        </w:rPr>
        <w:t xml:space="preserve">Ante toda esta incertidumbre, en el contexto del estado de peligro de extinción de estas especies, y para apoyar la conservación de las mismas y los esfuerzos de los Estados del área de distribución, recomendamos encarecidamente que el Comité de Supervisión rechace la solicitud de registro de esta operación de cría comercial.</w:t>
      </w:r>
    </w:p>
    <w:p w:rsidRPr="00682E50" w:rsidR="00682E50" w:rsidP="00682E50" w:rsidRDefault="00682E50" w14:paraId="052A407D" w14:textId="77777777">
      <w:pPr>
        <w:pStyle w:val="Heading"/>
      </w:pPr>
    </w:p>
    <w:p w:rsidRPr="00682E50" w:rsidR="00682E50" w:rsidP="00682E50" w:rsidRDefault="00682E50" w14:paraId="40F8AE70" w14:textId="03DB5A7C">
      <w:pPr>
        <w:pStyle w:val="Heading"/>
        <w:rPr>
          <w:i/>
          <w:iCs/>
        </w:rPr>
      </w:pPr>
      <w:r>
        <w:t xml:space="preserve">53.3</w:t>
      </w:r>
      <w:r w:rsidR="00395EA8">
        <w:t xml:space="preserve">: </w:t>
      </w:r>
      <w:hyperlink w:history="1" r:id="rId55">
        <w:r w:rsidRPr="00682E50">
          <w:rPr>
            <w:rStyle w:val="Hyperlink"/>
          </w:rPr>
          <w:t xml:space="preserve">Registro de la operación de Grayson Tighe (Canadá) para la cría de </w:t>
        </w:r>
        <w:r w:rsidRPr="00682E50">
          <w:rPr>
            <w:rStyle w:val="Hyperlink"/>
            <w:i/>
            <w:iCs/>
          </w:rPr>
          <w:t xml:space="preserve">Brachylophus </w:t>
        </w:r>
        <w:r w:rsidRPr="00682E50">
          <w:rPr>
            <w:rStyle w:val="Hyperlink"/>
            <w:i/>
            <w:iCs/>
          </w:rPr>
          <w:t xml:space="preserve">bulabula </w:t>
        </w:r>
        <w:r w:rsidRPr="00682E50">
          <w:rPr>
            <w:rStyle w:val="Hyperlink"/>
          </w:rPr>
          <w:t xml:space="preserve">y </w:t>
        </w:r>
        <w:r w:rsidRPr="00682E50">
          <w:rPr>
            <w:rStyle w:val="Hyperlink"/>
            <w:i/>
            <w:iCs/>
          </w:rPr>
          <w:t xml:space="preserve">Brachylophus fasciatus</w:t>
        </w:r>
      </w:hyperlink>
    </w:p>
    <w:p w:rsidR="00682E50" w:rsidP="00682E50" w:rsidRDefault="00682E50" w14:paraId="66361C83" w14:textId="77777777">
      <w:pPr>
        <w:pStyle w:val="SC81Normal"/>
        <w:spacing w:after="0"/>
      </w:pPr>
    </w:p>
    <w:p w:rsidRPr="00682E50" w:rsidR="00682E50" w:rsidP="00682E50" w:rsidRDefault="00682E50" w14:paraId="1F48CCEA" w14:textId="4F17FC47">
      <w:pPr>
        <w:pStyle w:val="SC81Normal"/>
        <w:spacing w:after="0"/>
      </w:pPr>
      <w:r w:rsidRPr="00682E50">
        <w:t xml:space="preserve">Observamos con preocupación las objeciones planteadas al registro de esta instalación por parte de Fiyi, en su calidad de Estado del área de distribución de estas especies endémicas a nivel nacional, así como por otras Partes.  </w:t>
      </w:r>
      <w:r w:rsidRPr="00682E50">
        <w:t xml:space="preserve">Tanto </w:t>
      </w:r>
      <w:hyperlink r:id="rId56">
        <w:r w:rsidRPr="00682E50">
          <w:rPr>
            <w:rStyle w:val="Hyperlink"/>
            <w:b/>
            <w:bCs/>
            <w:i/>
            <w:iCs/>
            <w:color w:val="467886"/>
          </w:rPr>
          <w:t xml:space="preserve">Brachylophus </w:t>
        </w:r>
        <w:r w:rsidRPr="00682E50">
          <w:rPr>
            <w:rStyle w:val="Hyperlink"/>
            <w:b/>
            <w:bCs/>
            <w:i/>
            <w:iCs/>
            <w:color w:val="467886"/>
          </w:rPr>
          <w:t xml:space="preserve">bulabula</w:t>
        </w:r>
      </w:hyperlink>
      <w:r w:rsidRPr="00682E50">
        <w:t xml:space="preserve"> (la iguana rayada de Fiyi) como </w:t>
      </w:r>
      <w:hyperlink r:id="rId57">
        <w:r w:rsidRPr="00682E50">
          <w:rPr>
            <w:rStyle w:val="Hyperlink"/>
            <w:b/>
            <w:bCs/>
            <w:i/>
            <w:iCs/>
            <w:color w:val="467886"/>
          </w:rPr>
          <w:t xml:space="preserve">Brachylophus fasciatus</w:t>
        </w:r>
      </w:hyperlink>
      <w:r w:rsidRPr="00682E50">
        <w:t xml:space="preserve"> (la iguana rayada de Lau) son endémicas de Fiyi y figuran como «En peligro» y con población en disminución en la Lista Roja de Especies Amenazadas de la UICN.</w:t>
      </w:r>
    </w:p>
    <w:p w:rsidRPr="00682E50" w:rsidR="00682E50" w:rsidP="00682E50" w:rsidRDefault="00682E50" w14:paraId="46E9F8C3" w14:textId="77777777">
      <w:pPr>
        <w:pStyle w:val="SC81Normal"/>
        <w:spacing w:after="0"/>
      </w:pPr>
      <w:r w:rsidRPr="00682E50">
        <w:t xml:space="preserve">Para que un espécimen criado en cautiverio pueda comercializarse legalmente, debe haber evidencia de que el stock fundador de su material genético se obtuvo legalmente del medio silvestre. La evidencia proporcionada no demuestra una conexión plausible entre exportaciones legales y documentadas desde Fiyi —o Tonga, o Vanuatu— hacia Suiza, de donde proviene el stock reproductor que produjo los especímenes en esta instalación.  </w:t>
      </w:r>
    </w:p>
    <w:p w:rsidR="00682E50" w:rsidP="00682E50" w:rsidRDefault="00682E50" w14:paraId="628CF384" w14:textId="77777777">
      <w:pPr>
        <w:pStyle w:val="SC81Normal"/>
        <w:spacing w:after="0"/>
      </w:pPr>
    </w:p>
    <w:p w:rsidR="00682E50" w:rsidP="00682E50" w:rsidRDefault="00682E50" w14:paraId="18F91CD2" w14:textId="44F0BCEF">
      <w:pPr>
        <w:pStyle w:val="SC81Normal"/>
        <w:spacing w:after="0"/>
      </w:pPr>
      <w:r w:rsidRPr="00682E50">
        <w:t xml:space="preserve">Si bien reconocemos que esta especie puede reproducirse en cautiverio, también observamos que estas especies son objeto de comercio ilegal (incluso hacia Europa). </w:t>
      </w:r>
    </w:p>
    <w:p w:rsidRPr="00682E50" w:rsidR="00682E50" w:rsidP="00682E50" w:rsidRDefault="00682E50" w14:paraId="0BE65AF2" w14:textId="77777777">
      <w:pPr>
        <w:pStyle w:val="SC81Normal"/>
        <w:spacing w:after="0"/>
      </w:pPr>
    </w:p>
    <w:p w:rsidR="00682E50" w:rsidP="00682E50" w:rsidRDefault="00682E50" w14:paraId="27D35ECF" w14:textId="77777777">
      <w:pPr>
        <w:pStyle w:val="SC81Normal"/>
        <w:spacing w:after="0"/>
      </w:pPr>
      <w:r w:rsidRPr="00682E50">
        <w:t xml:space="preserve">Teniendo en cuenta esta incertidumbre, en el contexto del estado de peligro de extinción de la especie, y para apoyar la conservación de la especie y los esfuerzos del Estado del área de distribución, recomendamos encarecidamente que el Comité de Especies (SC) rechace la solicitud de registro de esta operación de cría comercial.</w:t>
      </w:r>
    </w:p>
    <w:p w:rsidRPr="00682E50" w:rsidR="00682E50" w:rsidP="00682E50" w:rsidRDefault="00682E50" w14:paraId="5084BFFD" w14:textId="77777777">
      <w:pPr>
        <w:pStyle w:val="SC81Normal"/>
        <w:spacing w:after="0"/>
      </w:pPr>
    </w:p>
    <w:p w:rsidRPr="00682E50" w:rsidR="00682E50" w:rsidP="00682E50" w:rsidRDefault="00682E50" w14:paraId="72E8FFB7" w14:textId="77777777">
      <w:pPr>
        <w:spacing w:line="240" w:lineRule="auto"/>
        <w:rPr>
          <w:rFonts w:ascii="Aptos" w:hAnsi="Aptos" w:eastAsia="Aptos" w:cs="Aptos"/>
          <w:lang w:val="en-US"/>
        </w:rPr>
      </w:pPr>
    </w:p>
    <w:p w:rsidRPr="00682E50" w:rsidR="00682E50" w:rsidP="00682E50" w:rsidRDefault="00682E50" w14:paraId="6FA70B7C" w14:textId="36CBB005">
      <w:pPr>
        <w:pStyle w:val="Heading1"/>
        <w:rPr>
          <w:rFonts w:ascii="Aptos" w:hAnsi="Aptos"/>
          <w:sz w:val="22"/>
          <w:szCs w:val="22"/>
        </w:rPr>
      </w:pPr>
      <w:bookmarkStart w:name="_55._Trade_in" w:id="136"/>
      <w:bookmarkStart w:name="_Trade_in_threatened" w:id="137"/>
      <w:bookmarkStart w:name="_Toc242564025" w:id="138"/>
      <w:bookmarkEnd w:id="136"/>
      <w:r w:rsidRPr="00682E50">
        <w:rPr>
          <w:rFonts w:ascii="Aptos" w:hAnsi="Aptos"/>
          <w:sz w:val="22"/>
          <w:szCs w:val="22"/>
        </w:rPr>
        <w:t xml:space="preserve">55</w:t>
      </w:r>
      <w:r w:rsidR="00395EA8">
        <w:rPr>
          <w:rFonts w:ascii="Aptos" w:hAnsi="Aptos"/>
          <w:sz w:val="22"/>
          <w:szCs w:val="22"/>
        </w:rPr>
        <w:t xml:space="preserve">: </w:t>
      </w:r>
      <w:hyperlink r:id="rId58">
        <w:r w:rsidRPr="00682E50">
          <w:rPr>
            <w:rStyle w:val="Hyperlink"/>
            <w:rFonts w:ascii="Aptos" w:hAnsi="Aptos"/>
            <w:sz w:val="22"/>
            <w:szCs w:val="22"/>
          </w:rPr>
          <w:t xml:space="preserve">Comercio de especies endémicas amenazadas (Decisión 20.151)</w:t>
        </w:r>
        <w:bookmarkEnd w:id="137"/>
        <w:bookmarkEnd w:id="138"/>
      </w:hyperlink>
      <w:r w:rsidRPr="00682E50">
        <w:rPr>
          <w:rFonts w:ascii="Aptos" w:hAnsi="Aptos"/>
          <w:sz w:val="22"/>
          <w:szCs w:val="22"/>
        </w:rPr>
        <w:t xml:space="preserve"> </w:t>
      </w:r>
    </w:p>
    <w:p w:rsidR="00682E50" w:rsidP="00682E50" w:rsidRDefault="00682E50" w14:paraId="40EBB85C" w14:textId="77777777">
      <w:pPr>
        <w:pStyle w:val="SC81Normal"/>
        <w:spacing w:after="0"/>
      </w:pPr>
    </w:p>
    <w:p w:rsidR="00682E50" w:rsidP="00682E50" w:rsidRDefault="00682E50" w14:paraId="7670858F" w14:textId="0FC62E52">
      <w:pPr>
        <w:pStyle w:val="SC81Normal"/>
        <w:spacing w:after="0"/>
      </w:pPr>
      <w:r w:rsidRPr="00682E50">
        <w:t xml:space="preserve">Celebramos los avances logrados hasta la fecha en la elaboración de estudios de caso de conformidad con la Decisión 20.151. En lo que respecta a posibles estudios de caso adicionales para África, Asia, Europa y América del Norte, estamos en contacto con las Partes y los miembros del Comité Permanente para identificar posibles estudios de caso de las regiones que actualmente están subrepresentadas. </w:t>
      </w:r>
    </w:p>
    <w:p w:rsidRPr="00682E50" w:rsidR="00682E50" w:rsidP="00682E50" w:rsidRDefault="00682E50" w14:paraId="30ADA1D5" w14:textId="77777777">
      <w:pPr>
        <w:pStyle w:val="SC81Normal"/>
        <w:spacing w:after="0"/>
      </w:pPr>
    </w:p>
    <w:p w:rsidRPr="00682E50" w:rsidR="00682E50" w:rsidP="00682E50" w:rsidRDefault="00682E50" w14:paraId="55C0C658" w14:textId="77777777">
      <w:pPr>
        <w:pStyle w:val="SC81Normal"/>
        <w:spacing w:after="0"/>
      </w:pPr>
      <w:r w:rsidRPr="00682E50">
        <w:rPr>
          <w:color w:val="000000" w:themeColor="text1"/>
        </w:rPr>
        <w:t xml:space="preserve">Instamos a todas las Partes a que actúen con mayor diligencia debida en la importación, exportación o reexportación de cualquier espécimen vivo de animales que sean especies endémicas protegidas en su país de origen. </w:t>
      </w:r>
    </w:p>
    <w:p w:rsidR="00682E50" w:rsidP="00682E50" w:rsidRDefault="00682E50" w14:paraId="5F86007F" w14:textId="77777777">
      <w:pPr>
        <w:spacing w:line="240" w:lineRule="auto"/>
        <w:rPr>
          <w:rFonts w:ascii="Aptos" w:hAnsi="Aptos" w:eastAsia="Aptos" w:cs="Aptos"/>
          <w:b/>
          <w:bCs/>
        </w:rPr>
      </w:pPr>
    </w:p>
    <w:p w:rsidRPr="00682E50" w:rsidR="00682E50" w:rsidP="00682E50" w:rsidRDefault="00682E50" w14:paraId="28D8EC72" w14:textId="77777777">
      <w:pPr>
        <w:spacing w:line="240" w:lineRule="auto"/>
        <w:rPr>
          <w:rFonts w:ascii="Aptos" w:hAnsi="Aptos" w:eastAsia="Aptos" w:cs="Aptos"/>
          <w:b/>
          <w:bCs/>
        </w:rPr>
      </w:pPr>
    </w:p>
    <w:p w:rsidRPr="00682E50" w:rsidR="00682E50" w:rsidP="00682E50" w:rsidRDefault="00395EA8" w14:paraId="32CE02DF" w14:textId="16917779">
      <w:pPr>
        <w:pStyle w:val="Heading1"/>
        <w:rPr>
          <w:rFonts w:ascii="Aptos" w:hAnsi="Aptos"/>
          <w:sz w:val="22"/>
          <w:szCs w:val="22"/>
        </w:rPr>
      </w:pPr>
      <w:bookmarkStart w:name="_Elephants_(Elephantidae_spp.):" w:id="139"/>
      <w:r>
        <w:rPr>
          <w:rFonts w:ascii="Aptos" w:hAnsi="Aptos"/>
          <w:sz w:val="22"/>
          <w:szCs w:val="22"/>
        </w:rPr>
        <w:t xml:space="preserve">56:</w:t>
      </w:r>
      <w:hyperlink w:history="1" r:id="rId59">
        <w:bookmarkStart w:name="_Toc242564026" w:id="140"/>
        <w:r w:rsidRPr="00682E50" w:rsidR="00682E50">
          <w:rPr>
            <w:rStyle w:val="Hyperlink"/>
            <w:rFonts w:ascii="Aptos" w:hAnsi="Aptos"/>
            <w:sz w:val="22"/>
            <w:szCs w:val="22"/>
          </w:rPr>
          <w:t xml:space="preserve"> Elefantes (Elephantidae spp.): Informe de la Secretaría</w:t>
        </w:r>
      </w:hyperlink>
      <w:r w:rsidRPr="00682E50" w:rsidR="00682E50">
        <w:rPr>
          <w:rFonts w:ascii="Aptos" w:hAnsi="Aptos"/>
          <w:sz w:val="22"/>
          <w:szCs w:val="22"/>
        </w:rPr>
        <w:t xml:space="preserve"> </w:t>
      </w:r>
      <w:bookmarkEnd w:id="139"/>
      <w:bookmarkEnd w:id="140"/>
    </w:p>
    <w:p w:rsidR="00682E50" w:rsidP="00682E50" w:rsidRDefault="00682E50" w14:paraId="231B3A4F" w14:textId="77777777">
      <w:pPr>
        <w:pStyle w:val="SC81Normal"/>
        <w:spacing w:after="0"/>
      </w:pPr>
    </w:p>
    <w:p w:rsidRPr="00682E50" w:rsidR="00682E50" w:rsidP="00682E50" w:rsidRDefault="00682E50" w14:paraId="2450ECB8" w14:textId="102629B8">
      <w:pPr>
        <w:pStyle w:val="SC81Normal"/>
        <w:spacing w:after="0"/>
      </w:pPr>
      <w:r>
        <w:t xml:space="preserve">Agradecemos los datos actualizados de MIKE y ETIS; sin embargo, instamos a mantener la vigilancia. </w:t>
      </w:r>
    </w:p>
    <w:p w:rsidR="5403C073" w:rsidP="5403C073" w:rsidRDefault="5403C073" w14:paraId="07E53420" w14:textId="075B5AC8">
      <w:pPr>
        <w:pStyle w:val="SC81Normal"/>
        <w:spacing w:after="0"/>
      </w:pPr>
    </w:p>
    <w:p w:rsidRPr="00682E50" w:rsidR="00682E50" w:rsidP="00682E50" w:rsidRDefault="00682E50" w14:paraId="4F96222A" w14:textId="77777777">
      <w:pPr>
        <w:pStyle w:val="SC81Normal"/>
        <w:spacing w:after="0"/>
      </w:pPr>
      <w:r w:rsidRPr="00682E50">
        <w:t xml:space="preserve">Por ejemplo, a pesar de una posible disminución a escala continental, incluso las tendencias de estabilización en subregiones como África Oriental podrían seguir estando relacionadas con incautaciones recientes en Kenia, Tanzania y otros lugares. Las tendencias continentales en la detección de cadáveres de elefantes asesinados ilegalmente no deben restar atención a los desafíos continuos que plantea la lucha contra la caza furtiva de elefantes en África Central. </w:t>
      </w:r>
    </w:p>
    <w:p w:rsidR="00682E50" w:rsidP="00682E50" w:rsidRDefault="00682E50" w14:paraId="4DA97E7F" w14:textId="77777777">
      <w:pPr>
        <w:pStyle w:val="SC81Normal"/>
        <w:spacing w:after="0"/>
      </w:pPr>
      <w:r w:rsidRPr="00682E50">
        <w:lastRenderedPageBreak/>
      </w:r>
      <w:r w:rsidRPr="00682E50">
        <w:t xml:space="preserve">Podría parecer que contar con puntuaciones PIKE separadas para los elefantes de bosque y los de sabana permitiría un mayor escrutinio, pero creemos que las puntuaciones PIKE subregionales para África Central cumplen esencialmente esta función. Además, el elevado volumen de marfil trabajado en el comercio debería recordarnos que es difícil diferenciar el marfil de distintas especies de elefantes una vez que ha sido trabajado, y que cualquier divergencia en las tendencias no debería dar lugar a estrategias de gestión muy diferentes para las especies de elefantes africanos. </w:t>
      </w:r>
    </w:p>
    <w:p w:rsidRPr="00682E50" w:rsidR="00682E50" w:rsidP="00682E50" w:rsidRDefault="00682E50" w14:paraId="0855D465" w14:textId="77777777">
      <w:pPr>
        <w:pStyle w:val="SC81Normal"/>
        <w:spacing w:after="0"/>
      </w:pPr>
    </w:p>
    <w:p w:rsidRPr="00682E50" w:rsidR="00682E50" w:rsidP="00682E50" w:rsidRDefault="00682E50" w14:paraId="7A66B4C9" w14:textId="77777777">
      <w:pPr>
        <w:pStyle w:val="SC81Normal"/>
        <w:spacing w:after="0"/>
      </w:pPr>
      <w:r w:rsidRPr="00682E50">
        <w:t xml:space="preserve">Una preocupación clave es la falta de información sobre las rutas comerciales cuando las Partes presentan sus informes al ETIS, lo que socava significativamente las respuestas a través de la CITES, incluido el proceso del Plan de Acción Nacional sobre el Marfil. Una preocupación separada, pero relacionada, sería la escasa información sobre los mercados nacionales de marfil por parte de las Partes en las que existen importantes mercados nacionales asociados con incautaciones de marfil trabajado. </w:t>
      </w:r>
    </w:p>
    <w:p w:rsidR="00682E50" w:rsidP="00682E50" w:rsidRDefault="00682E50" w14:paraId="51327D60" w14:textId="77777777">
      <w:pPr>
        <w:spacing w:line="240" w:lineRule="auto"/>
        <w:rPr>
          <w:rFonts w:ascii="Aptos" w:hAnsi="Aptos"/>
        </w:rPr>
      </w:pPr>
    </w:p>
    <w:p w:rsidRPr="00682E50" w:rsidR="00682E50" w:rsidP="00682E50" w:rsidRDefault="00682E50" w14:paraId="03B46EB4" w14:textId="77777777">
      <w:pPr>
        <w:spacing w:line="240" w:lineRule="auto"/>
        <w:rPr>
          <w:rFonts w:ascii="Aptos" w:hAnsi="Aptos"/>
        </w:rPr>
      </w:pPr>
    </w:p>
    <w:p w:rsidR="00682E50" w:rsidP="00682E50" w:rsidRDefault="00682E50" w14:paraId="1900BD8B" w14:textId="70FD0D1A">
      <w:pPr>
        <w:pStyle w:val="Heading1"/>
        <w:rPr>
          <w:rFonts w:ascii="Aptos" w:hAnsi="Aptos"/>
          <w:sz w:val="22"/>
          <w:szCs w:val="22"/>
        </w:rPr>
      </w:pPr>
      <w:bookmarkStart w:name="_57._Jaguars_(Panthera" w:id="141"/>
      <w:bookmarkStart w:name="_Jaguars_(Panthera_onca)" w:id="142"/>
      <w:bookmarkStart w:name="_Toc242564027" w:id="143"/>
      <w:bookmarkEnd w:id="141"/>
      <w:r>
        <w:rPr>
          <w:rFonts w:ascii="Aptos" w:hAnsi="Aptos"/>
          <w:sz w:val="22"/>
          <w:szCs w:val="22"/>
        </w:rPr>
        <w:t xml:space="preserve">57</w:t>
      </w:r>
      <w:r w:rsidR="00395EA8">
        <w:rPr>
          <w:rFonts w:ascii="Aptos" w:hAnsi="Aptos"/>
          <w:sz w:val="22"/>
          <w:szCs w:val="22"/>
        </w:rPr>
        <w:t xml:space="preserve">: </w:t>
      </w:r>
      <w:hyperlink w:history="1" r:id="rId60">
        <w:r w:rsidRPr="00682E50">
          <w:rPr>
            <w:rStyle w:val="Hyperlink"/>
            <w:rFonts w:ascii="Aptos" w:hAnsi="Aptos"/>
            <w:sz w:val="22"/>
            <w:szCs w:val="22"/>
          </w:rPr>
          <w:t xml:space="preserve">Jaguares (</w:t>
        </w:r>
        <w:r w:rsidRPr="00682E50">
          <w:rPr>
            <w:rStyle w:val="Hyperlink"/>
            <w:rFonts w:ascii="Aptos" w:hAnsi="Aptos"/>
            <w:i/>
            <w:iCs/>
            <w:sz w:val="22"/>
            <w:szCs w:val="22"/>
          </w:rPr>
          <w:t xml:space="preserve">Panthera onca</w:t>
        </w:r>
        <w:r w:rsidRPr="00682E50">
          <w:rPr>
            <w:rStyle w:val="Hyperlink"/>
            <w:rFonts w:ascii="Aptos" w:hAnsi="Aptos"/>
            <w:sz w:val="22"/>
            <w:szCs w:val="22"/>
          </w:rPr>
          <w:t xml:space="preserve">) (Decisión 20.188)</w:t>
        </w:r>
        <w:bookmarkEnd w:id="142"/>
        <w:bookmarkEnd w:id="143"/>
        <w:r w:rsidRPr="00682E50">
          <w:rPr>
            <w:rStyle w:val="Hyperlink"/>
            <w:rFonts w:ascii="Aptos" w:hAnsi="Aptos"/>
            <w:sz w:val="22"/>
            <w:szCs w:val="22"/>
          </w:rPr>
          <w:t xml:space="preserve"> </w:t>
        </w:r>
      </w:hyperlink>
    </w:p>
    <w:p w:rsidRPr="00682E50" w:rsidR="00682E50" w:rsidP="00682E50" w:rsidRDefault="00682E50" w14:paraId="2E7D0225" w14:textId="77777777"/>
    <w:p w:rsidR="00682E50" w:rsidP="00682E50" w:rsidRDefault="00682E50" w14:paraId="4C744607" w14:textId="77777777">
      <w:pPr>
        <w:pStyle w:val="SC81Normal"/>
        <w:spacing w:after="0"/>
      </w:pPr>
      <w:r w:rsidRPr="00682E50">
        <w:t xml:space="preserve">El jaguar es una especie emblemática de las Américas, tanto por su importancia en el mantenimiento de los paisajes naturales y la funcionalidad de los ecosistemas, como por ser un elemento cultural importante a lo largo de su área de distribución desde hace siglos, particularmente para los pueblos y naciones indígenas. Alentamos a las Partes a apoyar todas las medidas necesarias que beneficien la conservación de esta especie emblemática y de gran importancia ecológica. La WCS cuenta con un amplio programa de conservación del jaguar, en el que colabora con gobiernos y otros socios para la conservación de los jaguares y sus hábitats en ocho países (Guatemala, Honduras, Colombia, Ecuador, Perú, Bolivia, Paraguay y Brasil). La WCS está muy preocupada por la amenaza emergente que representa el tráfico de partes de jaguar. </w:t>
      </w:r>
    </w:p>
    <w:p w:rsidRPr="00682E50" w:rsidR="00682E50" w:rsidP="00682E50" w:rsidRDefault="00682E50" w14:paraId="74C3BA8F" w14:textId="77777777">
      <w:pPr>
        <w:pStyle w:val="SC81Normal"/>
        <w:spacing w:after="0"/>
      </w:pPr>
    </w:p>
    <w:p w:rsidRPr="00682E50" w:rsidR="00682E50" w:rsidP="00682E50" w:rsidRDefault="00682E50" w14:paraId="23AF4DCA" w14:textId="77777777">
      <w:pPr>
        <w:pStyle w:val="SC81Normal"/>
        <w:spacing w:after="0"/>
      </w:pPr>
      <w:r w:rsidRPr="00682E50">
        <w:t xml:space="preserve">La WCS se complace en ser miembro del Grupo de Trabajo entre períodos de sesiones sobre el jaguar, y agradecemos a Brasil y México por este documento, así como por su liderazgo como copresidentes de este Grupo de Trabajo; agradecemos a todos los miembros del Grupo de Trabajo por el diálogo colaborativo sobre las amenazas que enfrenta el jaguar y el papel que pueden desempeñar la implementación y la aplicación de la CITES.  Hemos presentado comentarios a través del grupo de trabajo y esperamos con interés el diálogo continuo sobre el borrador de los Términos de Referencia del Comité Directivo de la Plataforma Intergubernamental, así como sobre las Modalidades para la puesta en marcha de la Plataforma Intergubernamental para la Conservación del jaguar (incluido el borrador de preguntas orientativas), tal como se presentan en el documento.</w:t>
      </w:r>
    </w:p>
    <w:p w:rsidR="00682E50" w:rsidP="00682E50" w:rsidRDefault="00682E50" w14:paraId="174810A8" w14:textId="77777777">
      <w:pPr>
        <w:spacing w:line="240" w:lineRule="auto"/>
        <w:rPr>
          <w:rFonts w:ascii="Aptos" w:hAnsi="Aptos" w:eastAsia="Aptos" w:cs="Aptos"/>
          <w:color w:val="B8CCE4" w:themeColor="accent1" w:themeTint="66"/>
          <w:lang w:val="en-US"/>
        </w:rPr>
      </w:pPr>
    </w:p>
    <w:p w:rsidR="5403C073" w:rsidP="5403C073" w:rsidRDefault="5403C073" w14:paraId="64F964C9" w14:textId="7B3D918F">
      <w:pPr>
        <w:spacing w:line="240" w:lineRule="auto"/>
        <w:rPr>
          <w:rFonts w:ascii="Aptos" w:hAnsi="Aptos" w:eastAsia="Aptos" w:cs="Aptos"/>
          <w:color w:val="B8CCE4" w:themeColor="accent1" w:themeTint="66"/>
          <w:lang w:val="en-US"/>
        </w:rPr>
      </w:pPr>
    </w:p>
    <w:p w:rsidRPr="00682E50" w:rsidR="00682E50" w:rsidP="00682E50" w:rsidRDefault="00682E50" w14:paraId="3692CD6A" w14:textId="77777777">
      <w:pPr>
        <w:spacing w:line="240" w:lineRule="auto"/>
        <w:rPr>
          <w:rFonts w:ascii="Aptos" w:hAnsi="Aptos" w:eastAsia="Aptos" w:cs="Aptos"/>
          <w:color w:val="B8CCE4" w:themeColor="accent1" w:themeTint="66"/>
          <w:lang w:val="en-US"/>
        </w:rPr>
      </w:pPr>
    </w:p>
    <w:p w:rsidRPr="00682E50" w:rsidR="00682E50" w:rsidP="00682E50" w:rsidRDefault="00682E50" w14:paraId="42B3C171" w14:textId="2E69B9A9">
      <w:pPr>
        <w:pStyle w:val="Heading1"/>
        <w:rPr>
          <w:rFonts w:ascii="Aptos" w:hAnsi="Aptos"/>
          <w:sz w:val="22"/>
          <w:szCs w:val="22"/>
        </w:rPr>
      </w:pPr>
      <w:bookmarkStart w:name="_58._Implementation_of_1" w:id="144"/>
      <w:bookmarkStart w:name="_Implementation_of_Resolution" w:id="145"/>
      <w:bookmarkStart w:name="_Toc242564028" w:id="146"/>
      <w:bookmarkEnd w:id="144"/>
      <w:r>
        <w:rPr>
          <w:rFonts w:ascii="Aptos" w:hAnsi="Aptos"/>
          <w:sz w:val="22"/>
          <w:szCs w:val="22"/>
        </w:rPr>
        <w:t xml:space="preserve">58</w:t>
      </w:r>
      <w:r w:rsidR="00395EA8">
        <w:rPr>
          <w:rFonts w:ascii="Aptos" w:hAnsi="Aptos"/>
          <w:sz w:val="22"/>
          <w:szCs w:val="22"/>
        </w:rPr>
        <w:t xml:space="preserve">:</w:t>
      </w:r>
      <w:hyperlink w:history="1" r:id="rId61">
        <w:bookmarkStart w:name="_58._Implementation_of" w:id="147"/>
        <w:r w:rsidRPr="00682E50">
          <w:rPr>
            <w:rStyle w:val="Hyperlink"/>
            <w:rFonts w:ascii="Aptos" w:hAnsi="Aptos"/>
            <w:sz w:val="22"/>
            <w:szCs w:val="22"/>
          </w:rPr>
          <w:t xml:space="preserve"> Aplicación de la Resolución Conf. 12.5 (Rev. CoP20): Tigres (</w:t>
        </w:r>
        <w:r w:rsidRPr="00682E50">
          <w:rPr>
            <w:rStyle w:val="Hyperlink"/>
            <w:rFonts w:ascii="Aptos" w:hAnsi="Aptos"/>
            <w:i/>
            <w:iCs/>
            <w:sz w:val="22"/>
            <w:szCs w:val="22"/>
          </w:rPr>
          <w:t xml:space="preserve">Panthera </w:t>
        </w:r>
        <w:r w:rsidRPr="00682E50">
          <w:rPr>
            <w:rStyle w:val="Hyperlink"/>
            <w:rFonts w:ascii="Aptos" w:hAnsi="Aptos"/>
            <w:i/>
            <w:iCs/>
            <w:sz w:val="22"/>
            <w:szCs w:val="22"/>
          </w:rPr>
          <w:t xml:space="preserve">tigris</w:t>
        </w:r>
        <w:r w:rsidRPr="00682E50">
          <w:rPr>
            <w:rStyle w:val="Hyperlink"/>
            <w:rFonts w:ascii="Aptos" w:hAnsi="Aptos"/>
            <w:i/>
            <w:iCs/>
            <w:sz w:val="22"/>
            <w:szCs w:val="22"/>
          </w:rPr>
          <w:t xml:space="preserve">) </w:t>
        </w:r>
        <w:r w:rsidRPr="00682E50">
          <w:rPr>
            <w:rStyle w:val="Hyperlink"/>
            <w:rFonts w:ascii="Aptos" w:hAnsi="Aptos"/>
            <w:sz w:val="22"/>
            <w:szCs w:val="22"/>
          </w:rPr>
          <w:t xml:space="preserve">en cautiverio</w:t>
        </w:r>
      </w:hyperlink>
      <w:r w:rsidRPr="00682E50">
        <w:rPr>
          <w:rFonts w:ascii="Aptos" w:hAnsi="Aptos"/>
          <w:sz w:val="22"/>
          <w:szCs w:val="22"/>
        </w:rPr>
        <w:t xml:space="preserve"> (Decisión 20.189)</w:t>
      </w:r>
      <w:bookmarkEnd w:id="145"/>
      <w:bookmarkEnd w:id="146"/>
      <w:bookmarkEnd w:id="147"/>
      <w:r w:rsidRPr="00682E50">
        <w:rPr>
          <w:rFonts w:ascii="Aptos" w:hAnsi="Aptos"/>
          <w:sz w:val="22"/>
          <w:szCs w:val="22"/>
        </w:rPr>
        <w:t xml:space="preserve"> </w:t>
      </w:r>
    </w:p>
    <w:p w:rsidR="00682E50" w:rsidP="00682E50" w:rsidRDefault="00682E50" w14:paraId="5A95EF9F" w14:textId="77777777">
      <w:pPr>
        <w:pStyle w:val="SC81Normal"/>
        <w:spacing w:after="0"/>
      </w:pPr>
    </w:p>
    <w:p w:rsidRPr="00682E50" w:rsidR="00682E50" w:rsidP="00682E50" w:rsidRDefault="00682E50" w14:paraId="0510DFAD" w14:textId="68BDF612">
      <w:pPr>
        <w:pStyle w:val="SC81Normal"/>
        <w:spacing w:after="0"/>
      </w:pPr>
      <w:r w:rsidRPr="00682E50">
        <w:t xml:space="preserve">La WCS agradece la información proporcionada por las Partes que respondieron a las notificaciones, pero le preocupa que varias Partes, de las que se sabe que cuentan con un gran número de instalaciones que crían o albergan tigres, no hayan respondido a la solicitud, en particular la República Democrática Popular Lao y Sudáfrica. Observamos con mayor preocupación algunas de las respuestas específicas de cada país, en particular la información sobre especímenes que pueden pertenecer al linaje del sudeste asiático continental, cuando el análisis de ADN de los especímenes en cautiverio en instalaciones privadas está incompleto en muchos países y la información a la que se hace referencia suele estar desactualizada.</w:t>
      </w:r>
    </w:p>
    <w:p w:rsidR="00682E50" w:rsidP="00682E50" w:rsidRDefault="00682E50" w14:paraId="0E332462" w14:textId="77777777">
      <w:pPr>
        <w:pStyle w:val="SC81Normal"/>
        <w:spacing w:after="0"/>
      </w:pPr>
    </w:p>
    <w:p w:rsidRPr="00682E50" w:rsidR="00682E50" w:rsidP="00682E50" w:rsidRDefault="00682E50" w14:paraId="7361983B" w14:textId="451693DB">
      <w:pPr>
        <w:pStyle w:val="SC81Normal"/>
        <w:spacing w:after="0"/>
      </w:pPr>
      <w:r w:rsidRPr="00682E50">
        <w:t xml:space="preserve">WCS apoya las recomendaciones de la Secretaría y está de acuerdo en que </w:t>
      </w:r>
      <w:r w:rsidRPr="00682E50">
        <w:t xml:space="preserve">sería útil </w:t>
      </w:r>
      <w:r w:rsidRPr="00682E50">
        <w:t xml:space="preserve">contar</w:t>
      </w:r>
      <w:r w:rsidRPr="00682E50">
        <w:t xml:space="preserve"> con </w:t>
      </w:r>
      <w:r w:rsidRPr="00682E50">
        <w:t xml:space="preserve">un documento que describa los enfoques metodológicos para las Partes en cuyos territorios existan instalaciones que críen o alberguen tigres con fines distintos a </w:t>
      </w:r>
      <w:r w:rsidRPr="00682E50">
        <w:t xml:space="preserve">los programas</w:t>
      </w:r>
      <w:r w:rsidRPr="00682E50">
        <w:t xml:space="preserve"> de cría para la conservación</w:t>
      </w:r>
      <w:r w:rsidRPr="00682E50">
        <w:t xml:space="preserve">. </w:t>
      </w:r>
      <w:r w:rsidRPr="00682E50">
        <w:t xml:space="preserve">Ya</w:t>
      </w:r>
      <w:r w:rsidRPr="00682E50">
        <w:t xml:space="preserve"> existe un </w:t>
      </w:r>
      <w:r w:rsidRPr="00682E50">
        <w:t xml:space="preserve">número e</w:t>
      </w:r>
      <w:r w:rsidRPr="00682E50">
        <w:lastRenderedPageBreak/>
      </w:r>
      <w:r w:rsidRPr="00682E50">
        <w:t xml:space="preserve"> e de documentos elaborados para apoyar a los países que cuentan con este tipo de instalaciones, los cuales podrían adaptarse para tales fines.</w:t>
      </w:r>
    </w:p>
    <w:p w:rsidR="00682E50" w:rsidP="00682E50" w:rsidRDefault="00682E50" w14:paraId="4AA092B8" w14:textId="77777777">
      <w:pPr>
        <w:pStyle w:val="SC81Normal"/>
        <w:spacing w:after="0"/>
      </w:pPr>
    </w:p>
    <w:p w:rsidRPr="00682E50" w:rsidR="00682E50" w:rsidP="00682E50" w:rsidRDefault="00682E50" w14:paraId="021A0BF8" w14:textId="5B0785B0">
      <w:pPr>
        <w:pStyle w:val="SC81Normal"/>
        <w:spacing w:after="0"/>
        <w:rPr>
          <w:color w:val="B8CCE4" w:themeColor="accent1" w:themeTint="66"/>
        </w:rPr>
      </w:pPr>
      <w:r w:rsidRPr="00682E50">
        <w:t xml:space="preserve">A la WCS le sigue preocupando que, en muchos de los países identificados en la Decisión 20.189, se haya avanzado poco y que Sudáfrica no haya presentado ningún informe. Apoyamos las recomendaciones del documento y, en particular, la recomendación e), tomando nota del gran número de tigres exportados desde Sudáfrica en los últimos años y de la inclusión de informes continuos sobre la implementación, tal como lo exige la Resolución Conf. 12.5 (Rev. CoP20), antes de la SC82.</w:t>
      </w:r>
    </w:p>
    <w:p w:rsidR="00682E50" w:rsidP="00682E50" w:rsidRDefault="00682E50" w14:paraId="3C49D839" w14:textId="77777777">
      <w:pPr>
        <w:spacing w:line="240" w:lineRule="auto"/>
        <w:rPr>
          <w:rFonts w:ascii="Aptos" w:hAnsi="Aptos" w:eastAsia="Aptos" w:cs="Aptos"/>
          <w:b/>
          <w:bCs/>
          <w:lang w:val="en-US"/>
        </w:rPr>
      </w:pPr>
    </w:p>
    <w:p w:rsidRPr="00682E50" w:rsidR="00395EA8" w:rsidP="00682E50" w:rsidRDefault="00395EA8" w14:paraId="6F52F98C" w14:textId="77777777">
      <w:pPr>
        <w:spacing w:line="240" w:lineRule="auto"/>
        <w:rPr>
          <w:rFonts w:ascii="Aptos" w:hAnsi="Aptos" w:eastAsia="Aptos" w:cs="Aptos"/>
          <w:b/>
          <w:bCs/>
          <w:lang w:val="en-US"/>
        </w:rPr>
      </w:pPr>
    </w:p>
    <w:p w:rsidRPr="00682E50" w:rsidR="00682E50" w:rsidP="00682E50" w:rsidRDefault="00682E50" w14:paraId="77F8E636" w14:textId="24AFF235">
      <w:pPr>
        <w:pStyle w:val="Heading1"/>
        <w:rPr>
          <w:rFonts w:ascii="Aptos" w:hAnsi="Aptos"/>
          <w:sz w:val="22"/>
          <w:szCs w:val="22"/>
        </w:rPr>
      </w:pPr>
      <w:bookmarkStart w:name="_59._Saiga_antelopes" w:id="148"/>
      <w:bookmarkStart w:name="_Saiga_antelopes_(Saiga" w:id="149"/>
      <w:bookmarkStart w:name="_Toc242564029" w:id="150"/>
      <w:bookmarkEnd w:id="148"/>
      <w:r>
        <w:rPr>
          <w:rFonts w:ascii="Aptos" w:hAnsi="Aptos"/>
          <w:sz w:val="22"/>
          <w:szCs w:val="22"/>
        </w:rPr>
        <w:t xml:space="preserve">59</w:t>
      </w:r>
      <w:r w:rsidR="00395EA8">
        <w:rPr>
          <w:rFonts w:ascii="Aptos" w:hAnsi="Aptos"/>
          <w:sz w:val="22"/>
          <w:szCs w:val="22"/>
        </w:rPr>
        <w:t xml:space="preserve">: </w:t>
      </w:r>
      <w:hyperlink w:history="1" r:id="rId62">
        <w:r w:rsidRPr="00682E50">
          <w:rPr>
            <w:rStyle w:val="Hyperlink"/>
            <w:rFonts w:ascii="Aptos" w:hAnsi="Aptos"/>
            <w:sz w:val="22"/>
            <w:szCs w:val="22"/>
          </w:rPr>
          <w:t xml:space="preserve">Antílopes saiga (Saiga spp.)</w:t>
        </w:r>
      </w:hyperlink>
      <w:r w:rsidRPr="00682E50">
        <w:rPr>
          <w:rFonts w:ascii="Aptos" w:hAnsi="Aptos"/>
          <w:sz w:val="22"/>
          <w:szCs w:val="22"/>
        </w:rPr>
        <w:t xml:space="preserve"> [Decisión 19.216 (Rev. CoP20)]</w:t>
      </w:r>
      <w:bookmarkEnd w:id="149"/>
      <w:bookmarkEnd w:id="150"/>
      <w:r w:rsidRPr="00682E50">
        <w:rPr>
          <w:rFonts w:ascii="Aptos" w:hAnsi="Aptos"/>
          <w:sz w:val="22"/>
          <w:szCs w:val="22"/>
        </w:rPr>
        <w:t xml:space="preserve"> </w:t>
      </w:r>
    </w:p>
    <w:p w:rsidR="00682E50" w:rsidP="00682E50" w:rsidRDefault="00682E50" w14:paraId="0AF74689" w14:textId="77777777">
      <w:pPr>
        <w:pStyle w:val="SC81Normal"/>
        <w:spacing w:after="0"/>
      </w:pPr>
    </w:p>
    <w:p w:rsidRPr="00682E50" w:rsidR="00682E50" w:rsidP="00682E50" w:rsidRDefault="00682E50" w14:paraId="22A49EDA" w14:textId="0D297842">
      <w:pPr>
        <w:pStyle w:val="SC81Normal"/>
        <w:spacing w:after="0"/>
      </w:pPr>
      <w:r w:rsidRPr="00682E50">
        <w:t xml:space="preserve">La WCS agradece los esfuerzos de aquellas Partes del área de distribución y consumidoras que están trabajando arduamente tanto para combatir el comercio ilegal de partes y productos de saiga como para aplicar la inclusión actual en la Lista y la anotación asociada. Acogemos con beneplácito los esfuerzos de la Secretaría y de las Partes para aplicar las Decisiones 19.213 (Rev. CoP20) a 19.217 (Rev. CoP20) y las Decisiones 20.195 a 20.197 sobre los antílopes saiga.  </w:t>
      </w:r>
    </w:p>
    <w:p w:rsidR="00682E50" w:rsidP="00682E50" w:rsidRDefault="00682E50" w14:paraId="4834D947" w14:textId="77777777">
      <w:pPr>
        <w:pStyle w:val="SC81Normal"/>
        <w:spacing w:after="0"/>
        <w:rPr>
          <w:color w:val="000000" w:themeColor="text1"/>
        </w:rPr>
      </w:pPr>
    </w:p>
    <w:p w:rsidRPr="00682E50" w:rsidR="00682E50" w:rsidP="00682E50" w:rsidRDefault="00682E50" w14:paraId="206EE6FE" w14:textId="4B599EFB">
      <w:pPr>
        <w:pStyle w:val="SC81Normal"/>
        <w:spacing w:after="0"/>
      </w:pPr>
      <w:r w:rsidRPr="00682E50">
        <w:rPr>
          <w:color w:val="000000" w:themeColor="text1"/>
        </w:rPr>
        <w:t xml:space="preserve">Nos preocupa la elevada mortalidad de antílopes saiga registrada en Kazajistán en 2026. Si bien las causas de estas muertes aún no están claras, se ha señalado a la fiebre aftosa como un posible factor que requiere una investigación más profunda. La fiebre aftosa </w:t>
      </w:r>
      <w:r w:rsidRPr="00682E50">
        <w:t xml:space="preserve">es una enfermedad importante del ganado y también ha sido responsable de una morbilidad y mortalidad considerables en el saiga. Los saigas son ungulados migratorios de gran movilidad y, por lo tanto, las epidemias a gran escala que los afectan tienen consecuencias para su conservación, en un entorno que comparten con el ganado. Para la aplicación de las normas y decisiones de la CITES en materia de comercio, es fundamental que las Partes y la Secretaría estén plenamente informadas sobre este tema. </w:t>
      </w:r>
    </w:p>
    <w:p w:rsidR="00682E50" w:rsidP="00682E50" w:rsidRDefault="00682E50" w14:paraId="0A3CD60E" w14:textId="77777777">
      <w:pPr>
        <w:pStyle w:val="SC81Normal"/>
        <w:spacing w:after="0"/>
      </w:pPr>
    </w:p>
    <w:p w:rsidRPr="00682E50" w:rsidR="00682E50" w:rsidP="00682E50" w:rsidRDefault="00682E50" w14:paraId="59A050EC" w14:textId="2E804752">
      <w:pPr>
        <w:pStyle w:val="SC81Normal"/>
        <w:spacing w:after="0"/>
      </w:pPr>
      <w:r w:rsidRPr="00682E50">
        <w:t xml:space="preserve">También nos preocupan las exportaciones reportadas de especímenes de saiga con el código de origen O; con base en la información disponible sobre las existencias, es razonable cuestionar si ahora están ingresando al comercio especímenes con más de 30 años de antigüedad. Esto pone de relieve las graves deficiencias en la gestión de las existencias en muchos Estados del área de distribución y Estados consumidores.  </w:t>
      </w:r>
    </w:p>
    <w:p w:rsidR="00682E50" w:rsidP="00682E50" w:rsidRDefault="00682E50" w14:paraId="40C01A26" w14:textId="77777777">
      <w:pPr>
        <w:pStyle w:val="SC81Normal"/>
        <w:spacing w:after="0"/>
      </w:pPr>
    </w:p>
    <w:p w:rsidRPr="00682E50" w:rsidR="00682E50" w:rsidP="00682E50" w:rsidRDefault="00682E50" w14:paraId="764D65D7" w14:textId="5AEC9294">
      <w:pPr>
        <w:pStyle w:val="SC81Normal"/>
        <w:spacing w:after="0"/>
      </w:pPr>
      <w:r w:rsidRPr="00682E50">
        <w:t xml:space="preserve">Las decisiones actuales y el informe de la Secretaría resaltan la necesidad de cooperación internacional para abordar el comercio ilegal y el comercio legal pendiente de cuernos de saiga. La WCS señala el papel fundamental de la legislación nacional para respaldar las incautaciones, la presentación precisa de informes sobre las existencias, el monitoreo y la gestión. La falta de un sistema unificado para la recopilación y gestión de datos complica aún más este tema, lo que podría dar lugar a estimaciones inexactas de las existencias. Recomendamos una decisión que fomente la reforma legislativa para garantizar estimaciones precisas de las existencias, así como su reporte y gestión en todos los Estados del área de distribución y de consumo. </w:t>
      </w:r>
    </w:p>
    <w:p w:rsidR="00682E50" w:rsidP="00682E50" w:rsidRDefault="00682E50" w14:paraId="3EA1F61C" w14:textId="77777777">
      <w:pPr>
        <w:spacing w:line="240" w:lineRule="auto"/>
        <w:rPr>
          <w:rFonts w:ascii="Aptos" w:hAnsi="Aptos" w:eastAsia="Aptos" w:cs="Aptos"/>
          <w:lang w:val="en-US"/>
        </w:rPr>
      </w:pPr>
    </w:p>
    <w:p w:rsidR="00682E50" w:rsidP="00682E50" w:rsidRDefault="00682E50" w14:paraId="1248EFD4" w14:textId="24B7EA3D">
      <w:pPr>
        <w:spacing w:line="240" w:lineRule="auto"/>
        <w:rPr>
          <w:rFonts w:ascii="Aptos" w:hAnsi="Aptos" w:eastAsia="Aptos" w:cs="Aptos"/>
        </w:rPr>
      </w:pPr>
      <w:r w:rsidRPr="00682E50">
        <w:rPr>
          <w:rFonts w:ascii="Aptos" w:hAnsi="Aptos" w:eastAsia="Aptos" w:cs="Aptos"/>
          <w:lang w:val="en-US"/>
        </w:rPr>
        <w:t xml:space="preserve">Alentamos a los Estados del área de distribución, a las Partes, al Comité de Acción, al Comité de Supervisión y a la Secretaría a monitorear las tendencias actuales de las poblaciones de saiga. </w:t>
      </w:r>
      <w:r w:rsidRPr="00682E50">
        <w:rPr>
          <w:rFonts w:ascii="Aptos" w:hAnsi="Aptos" w:eastAsia="Aptos" w:cs="Aptos"/>
        </w:rPr>
        <w:t xml:space="preserve">Instamos a todos los Estados del área de distribución, y a Kazajistán en particular, a:</w:t>
      </w:r>
    </w:p>
    <w:p w:rsidRPr="00682E50" w:rsidR="00682E50" w:rsidP="00682E50" w:rsidRDefault="00682E50" w14:paraId="40B7F34E" w14:textId="77777777">
      <w:pPr>
        <w:spacing w:line="240" w:lineRule="auto"/>
        <w:rPr>
          <w:rFonts w:ascii="Aptos" w:hAnsi="Aptos"/>
        </w:rPr>
      </w:pPr>
    </w:p>
    <w:p w:rsidRPr="00682E50" w:rsidR="00682E50" w:rsidP="00682E50" w:rsidRDefault="00682E50" w14:paraId="1325621F" w14:textId="77777777">
      <w:pPr>
        <w:pStyle w:val="ListParagraph"/>
        <w:numPr>
          <w:ilvl w:val="0"/>
          <w:numId w:val="9"/>
        </w:numPr>
        <w:spacing w:line="240" w:lineRule="auto"/>
        <w:rPr>
          <w:rFonts w:ascii="Aptos" w:hAnsi="Aptos" w:eastAsia="Aptos" w:cs="Aptos"/>
          <w:lang w:val="en-US"/>
        </w:rPr>
      </w:pPr>
      <w:r w:rsidRPr="00682E50">
        <w:rPr>
          <w:rFonts w:ascii="Aptos" w:hAnsi="Aptos" w:eastAsia="Aptos" w:cs="Aptos"/>
          <w:lang w:val="en-US"/>
        </w:rPr>
        <w:t xml:space="preserve">Determinen la magnitud real, el momento y la distribución geográfica de la mortalidad reciente de saigas;</w:t>
      </w:r>
    </w:p>
    <w:p w:rsidRPr="00682E50" w:rsidR="00682E50" w:rsidP="00682E50" w:rsidRDefault="00682E50" w14:paraId="1C320B64" w14:textId="77777777">
      <w:pPr>
        <w:pStyle w:val="ListParagraph"/>
        <w:numPr>
          <w:ilvl w:val="0"/>
          <w:numId w:val="9"/>
        </w:numPr>
        <w:spacing w:line="240" w:lineRule="auto"/>
        <w:rPr>
          <w:rFonts w:ascii="Aptos" w:hAnsi="Aptos" w:eastAsia="Aptos" w:cs="Aptos"/>
        </w:rPr>
      </w:pPr>
      <w:r w:rsidRPr="00682E50">
        <w:rPr>
          <w:rFonts w:ascii="Aptos" w:hAnsi="Aptos" w:eastAsia="Aptos" w:cs="Aptos"/>
        </w:rPr>
        <w:t xml:space="preserve">Obtengan y analicen muestras diagnósticas representativas de cadáveres frescos de saiga y de ganado simpátrico; </w:t>
      </w:r>
    </w:p>
    <w:p w:rsidRPr="00682E50" w:rsidR="00682E50" w:rsidP="00682E50" w:rsidRDefault="00682E50" w14:paraId="46EBC3C9" w14:textId="77777777">
      <w:pPr>
        <w:pStyle w:val="ListParagraph"/>
        <w:numPr>
          <w:ilvl w:val="0"/>
          <w:numId w:val="9"/>
        </w:numPr>
        <w:spacing w:line="240" w:lineRule="auto"/>
        <w:rPr>
          <w:rFonts w:ascii="Aptos" w:hAnsi="Aptos" w:eastAsia="Aptos" w:cs="Aptos"/>
          <w:lang w:val="en-US"/>
        </w:rPr>
      </w:pPr>
      <w:r w:rsidRPr="00682E50">
        <w:rPr>
          <w:rFonts w:ascii="Aptos" w:hAnsi="Aptos" w:eastAsia="Aptos" w:cs="Aptos"/>
          <w:lang w:val="en-US"/>
        </w:rPr>
        <w:t xml:space="preserve">Determinen si el virus de la fiebre aftosa (FMDV) está presente y, de ser así, identifiquen el serotipo y caractericen el virus mediante análisis moleculares y genómicos adecuados;  </w:t>
      </w:r>
    </w:p>
    <w:p w:rsidRPr="00682E50" w:rsidR="00682E50" w:rsidP="00682E50" w:rsidRDefault="00682E50" w14:paraId="5DC2C24C" w14:textId="77777777">
      <w:pPr>
        <w:pStyle w:val="ListParagraph"/>
        <w:numPr>
          <w:ilvl w:val="0"/>
          <w:numId w:val="9"/>
        </w:numPr>
        <w:spacing w:line="240" w:lineRule="auto"/>
        <w:rPr>
          <w:rFonts w:ascii="Aptos" w:hAnsi="Aptos" w:eastAsia="Aptos" w:cs="Aptos"/>
        </w:rPr>
      </w:pPr>
      <w:r w:rsidRPr="00682E50">
        <w:rPr>
          <w:rFonts w:ascii="Aptos" w:hAnsi="Aptos" w:eastAsia="Aptos" w:cs="Aptos"/>
        </w:rPr>
        <w:t xml:space="preserve">Comparen los virus detectados en Kazajistán con los que circulan en otras partes de la región;</w:t>
      </w:r>
    </w:p>
    <w:p w:rsidRPr="00682E50" w:rsidR="00682E50" w:rsidP="00682E50" w:rsidRDefault="00682E50" w14:paraId="13A4B401" w14:textId="77777777">
      <w:pPr>
        <w:pStyle w:val="ListParagraph"/>
        <w:numPr>
          <w:ilvl w:val="0"/>
          <w:numId w:val="9"/>
        </w:numPr>
        <w:spacing w:line="240" w:lineRule="auto"/>
        <w:rPr>
          <w:rFonts w:ascii="Aptos" w:hAnsi="Aptos" w:eastAsia="Aptos" w:cs="Aptos"/>
        </w:rPr>
      </w:pPr>
      <w:r w:rsidRPr="00682E50">
        <w:rPr>
          <w:rFonts w:ascii="Aptos" w:hAnsi="Aptos" w:eastAsia="Aptos" w:cs="Aptos"/>
        </w:rPr>
        <w:lastRenderedPageBreak/>
      </w:r>
      <w:r w:rsidRPr="00682E50">
        <w:rPr>
          <w:rFonts w:ascii="Aptos" w:hAnsi="Aptos" w:eastAsia="Aptos" w:cs="Aptos"/>
        </w:rPr>
        <w:t xml:space="preserve">Y tomen en cuenta las mortandades significativas por fiebre aftosa en el manejo del saiga.</w:t>
      </w:r>
    </w:p>
    <w:p w:rsidR="00682E50" w:rsidP="00682E50" w:rsidRDefault="00682E50" w14:paraId="309A4E66" w14:textId="77777777">
      <w:pPr>
        <w:spacing w:line="240" w:lineRule="auto"/>
        <w:rPr>
          <w:rFonts w:ascii="Aptos" w:hAnsi="Aptos" w:eastAsia="Aptos" w:cs="Aptos"/>
          <w:b/>
          <w:bCs/>
        </w:rPr>
      </w:pPr>
    </w:p>
    <w:p w:rsidRPr="00682E50" w:rsidR="00395EA8" w:rsidP="00682E50" w:rsidRDefault="00395EA8" w14:paraId="71B55237" w14:textId="77777777">
      <w:pPr>
        <w:spacing w:line="240" w:lineRule="auto"/>
        <w:rPr>
          <w:rFonts w:ascii="Aptos" w:hAnsi="Aptos" w:eastAsia="Aptos" w:cs="Aptos"/>
          <w:b/>
          <w:bCs/>
        </w:rPr>
      </w:pPr>
    </w:p>
    <w:p w:rsidRPr="00682E50" w:rsidR="00682E50" w:rsidP="5403C073" w:rsidRDefault="00682E50" w14:paraId="2ABE7633" w14:textId="488F56E7">
      <w:pPr>
        <w:pStyle w:val="Heading1"/>
        <w:rPr>
          <w:rFonts w:ascii="Aptos" w:hAnsi="Aptos"/>
          <w:sz w:val="22"/>
          <w:szCs w:val="22"/>
          <w:lang w:val="en-US"/>
        </w:rPr>
      </w:pPr>
      <w:bookmarkStart w:name="_60._Sharks_and" w:id="151"/>
      <w:bookmarkStart w:name="_60:_Sharks_and" w:id="152"/>
      <w:bookmarkStart w:name="_Sharks_and_rays" w:id="153"/>
      <w:bookmarkStart w:name="_Toc242564030" w:id="154"/>
      <w:bookmarkEnd w:id="151"/>
      <w:bookmarkEnd w:id="152"/>
      <w:r w:rsidRPr="5403C073">
        <w:rPr>
          <w:rFonts w:ascii="Aptos" w:hAnsi="Aptos"/>
          <w:sz w:val="22"/>
          <w:szCs w:val="22"/>
          <w:lang w:val="en-US"/>
        </w:rPr>
        <w:t xml:space="preserve">60</w:t>
      </w:r>
      <w:r w:rsidRPr="5403C073" w:rsidR="00395EA8">
        <w:rPr>
          <w:rFonts w:ascii="Aptos" w:hAnsi="Aptos"/>
          <w:sz w:val="22"/>
          <w:szCs w:val="22"/>
          <w:lang w:val="en-US"/>
        </w:rPr>
        <w:t xml:space="preserve">: </w:t>
      </w:r>
      <w:r w:rsidRPr="5403C073">
        <w:rPr>
          <w:rFonts w:ascii="Aptos" w:hAnsi="Aptos"/>
          <w:sz w:val="22"/>
          <w:szCs w:val="22"/>
          <w:lang w:val="en-US"/>
        </w:rPr>
        <w:t xml:space="preserve">Tiburones y rayas (Elasmobranchii spp.) (Decisiones 20.211 y 20.212)</w:t>
      </w:r>
      <w:bookmarkEnd w:id="153"/>
      <w:bookmarkEnd w:id="154"/>
      <w:r w:rsidRPr="5403C073">
        <w:rPr>
          <w:rFonts w:ascii="Aptos" w:hAnsi="Aptos"/>
          <w:sz w:val="22"/>
          <w:szCs w:val="22"/>
          <w:lang w:val="en-US"/>
        </w:rPr>
        <w:t xml:space="preserve">  </w:t>
      </w:r>
    </w:p>
    <w:p w:rsidR="00682E50" w:rsidP="00682E50" w:rsidRDefault="00682E50" w14:paraId="2E96A59D" w14:textId="77777777">
      <w:pPr>
        <w:spacing w:line="240" w:lineRule="auto"/>
        <w:rPr>
          <w:rFonts w:ascii="Aptos" w:hAnsi="Aptos" w:eastAsia="Aptos" w:cs="Aptos"/>
          <w:b/>
          <w:bCs/>
          <w:lang w:val="en-US"/>
        </w:rPr>
      </w:pPr>
    </w:p>
    <w:p w:rsidR="00682E50" w:rsidP="00682E50" w:rsidRDefault="00682E50" w14:paraId="75F11AF0" w14:textId="0E07E41F">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Esperamos poder aportar </w:t>
      </w:r>
      <w:r w:rsidRPr="73356980" w:rsidR="305BD414">
        <w:rPr>
          <w:rFonts w:ascii="Aptos" w:hAnsi="Aptos" w:eastAsia="Aptos" w:cs="Aptos"/>
          <w:color w:val="B8CCE4" w:themeColor="accent1" w:themeTint="66"/>
          <w:lang w:val="en-SG"/>
        </w:rPr>
        <w:t xml:space="preserve">comentarios</w:t>
      </w:r>
      <w:r w:rsidRPr="73356980">
        <w:rPr>
          <w:rFonts w:ascii="Aptos" w:hAnsi="Aptos" w:eastAsia="Aptos" w:cs="Aptos"/>
          <w:color w:val="B8CCE4" w:themeColor="accent1" w:themeTint="66"/>
          <w:lang w:val="en-SG"/>
        </w:rPr>
        <w:t xml:space="preserve"> adicionales </w:t>
      </w:r>
      <w:r w:rsidRPr="73356980">
        <w:rPr>
          <w:rFonts w:ascii="Aptos" w:hAnsi="Aptos" w:eastAsia="Aptos" w:cs="Aptos"/>
          <w:color w:val="B8CCE4" w:themeColor="accent1" w:themeTint="66"/>
          <w:lang w:val="en-SG"/>
        </w:rPr>
        <w:t xml:space="preserve">a medida que se acerque la SC81. </w:t>
      </w:r>
    </w:p>
    <w:p w:rsidRPr="00395EA8" w:rsidR="00395EA8" w:rsidP="00682E50" w:rsidRDefault="00395EA8" w14:paraId="0DD57F45" w14:textId="77777777">
      <w:pPr>
        <w:spacing w:line="240" w:lineRule="auto"/>
        <w:rPr>
          <w:rFonts w:ascii="Aptos" w:hAnsi="Aptos" w:eastAsia="Aptos" w:cs="Aptos"/>
          <w:color w:val="B8CCE4" w:themeColor="accent1" w:themeTint="66"/>
          <w:lang w:val="en-SG"/>
        </w:rPr>
      </w:pPr>
    </w:p>
    <w:p w:rsidR="00395EA8" w:rsidP="00682E50" w:rsidRDefault="00395EA8" w14:paraId="56C7A75A" w14:textId="77777777">
      <w:pPr>
        <w:spacing w:line="240" w:lineRule="auto"/>
        <w:rPr>
          <w:rFonts w:ascii="Aptos" w:hAnsi="Aptos"/>
        </w:rPr>
      </w:pPr>
    </w:p>
    <w:p w:rsidRPr="00682E50" w:rsidR="00FC639F" w:rsidP="00682E50" w:rsidRDefault="00FC639F" w14:paraId="429F8F06" w14:textId="77777777">
      <w:pPr>
        <w:spacing w:line="240" w:lineRule="auto"/>
        <w:rPr>
          <w:rFonts w:ascii="Aptos" w:hAnsi="Aptos"/>
        </w:rPr>
      </w:pPr>
    </w:p>
    <w:p w:rsidRPr="00682E50" w:rsidR="00682E50" w:rsidP="00682E50" w:rsidRDefault="00682E50" w14:paraId="40FADB5F" w14:textId="5C99C674">
      <w:pPr>
        <w:spacing w:line="240" w:lineRule="auto"/>
        <w:rPr>
          <w:rFonts w:ascii="Aptos" w:hAnsi="Aptos" w:eastAsia="Aptos" w:cs="Aptos"/>
          <w:b/>
          <w:bCs/>
        </w:rPr>
      </w:pPr>
      <w:r w:rsidRPr="00682E50">
        <w:rPr>
          <w:rFonts w:ascii="Aptos" w:hAnsi="Aptos" w:eastAsia="Aptos" w:cs="Aptos"/>
          <w:b/>
          <w:bCs/>
          <w:u w:val="single"/>
        </w:rPr>
        <w:t xml:space="preserve">Anexo: </w:t>
      </w:r>
      <w:r w:rsidR="00FC639F">
        <w:rPr>
          <w:rFonts w:ascii="Aptos" w:hAnsi="Aptos" w:eastAsia="Aptos" w:cs="Aptos"/>
          <w:b/>
          <w:bCs/>
          <w:u w:val="single"/>
        </w:rPr>
        <w:t xml:space="preserve">Lista de acrónimos</w:t>
      </w:r>
    </w:p>
    <w:p w:rsidRPr="00682E50" w:rsidR="00682E50" w:rsidP="00682E50" w:rsidRDefault="00682E50" w14:paraId="72BEA460" w14:textId="77777777">
      <w:pPr>
        <w:spacing w:line="240" w:lineRule="auto"/>
        <w:rPr>
          <w:rFonts w:ascii="Aptos" w:hAnsi="Aptos" w:eastAsia="Aptos" w:cs="Aptos"/>
          <w:u w:val="single"/>
        </w:rPr>
      </w:pPr>
    </w:p>
    <w:p w:rsidRPr="00682E50" w:rsidR="00682E50" w:rsidP="00682E50" w:rsidRDefault="00682E50" w14:paraId="16B4E10D" w14:textId="77777777">
      <w:pPr>
        <w:spacing w:line="240" w:lineRule="auto"/>
        <w:rPr>
          <w:rFonts w:ascii="Aptos" w:hAnsi="Aptos" w:eastAsia="Aptos" w:cs="Aptos"/>
        </w:rPr>
      </w:pPr>
      <w:r w:rsidRPr="00682E50">
        <w:rPr>
          <w:rFonts w:ascii="Aptos" w:hAnsi="Aptos" w:eastAsia="Aptos" w:cs="Aptos"/>
        </w:rPr>
        <w:t xml:space="preserve">ABNJ</w:t>
      </w:r>
      <w:r w:rsidRPr="00682E50">
        <w:rPr>
          <w:rFonts w:ascii="Aptos" w:hAnsi="Aptos"/>
        </w:rPr>
        <w:tab/>
      </w:r>
      <w:r w:rsidRPr="00682E50">
        <w:rPr>
          <w:rFonts w:ascii="Aptos" w:hAnsi="Aptos"/>
        </w:rPr>
        <w:tab/>
      </w:r>
      <w:r w:rsidRPr="00682E50">
        <w:rPr>
          <w:rFonts w:ascii="Aptos" w:hAnsi="Aptos" w:eastAsia="Aptos" w:cs="Aptos"/>
        </w:rPr>
        <w:t xml:space="preserve">Áreas fuera de la jurisdicción nacional</w:t>
      </w:r>
    </w:p>
    <w:p w:rsidRPr="00682E50" w:rsidR="00682E50" w:rsidP="00682E50" w:rsidRDefault="00682E50" w14:paraId="342A7209" w14:textId="77777777">
      <w:pPr>
        <w:spacing w:line="240" w:lineRule="auto"/>
        <w:rPr>
          <w:rFonts w:ascii="Aptos" w:hAnsi="Aptos" w:eastAsia="Aptos" w:cs="Aptos"/>
        </w:rPr>
      </w:pPr>
      <w:r w:rsidRPr="00682E50">
        <w:rPr>
          <w:rFonts w:ascii="Aptos" w:hAnsi="Aptos" w:eastAsia="Aptos" w:cs="Aptos"/>
        </w:rPr>
        <w:t xml:space="preserve">AC</w:t>
      </w:r>
      <w:r w:rsidRPr="00682E50">
        <w:rPr>
          <w:rFonts w:ascii="Aptos" w:hAnsi="Aptos"/>
        </w:rPr>
        <w:tab/>
      </w:r>
      <w:r w:rsidRPr="00682E50">
        <w:rPr>
          <w:rFonts w:ascii="Aptos" w:hAnsi="Aptos"/>
        </w:rPr>
        <w:tab/>
      </w:r>
      <w:r w:rsidRPr="00682E50">
        <w:rPr>
          <w:rFonts w:ascii="Aptos" w:hAnsi="Aptos" w:eastAsia="Aptos" w:cs="Aptos"/>
        </w:rPr>
        <w:t xml:space="preserve">Comité de Animales de la CITES</w:t>
      </w:r>
    </w:p>
    <w:p w:rsidRPr="00682E50" w:rsidR="00682E50" w:rsidP="00682E50" w:rsidRDefault="00682E50" w14:paraId="5B659397" w14:textId="77777777">
      <w:pPr>
        <w:spacing w:line="240" w:lineRule="auto"/>
        <w:rPr>
          <w:rFonts w:ascii="Aptos" w:hAnsi="Aptos" w:eastAsia="Aptos" w:cs="Aptos"/>
        </w:rPr>
      </w:pPr>
      <w:r w:rsidRPr="00682E50">
        <w:rPr>
          <w:rFonts w:ascii="Aptos" w:hAnsi="Aptos" w:eastAsia="Aptos" w:cs="Aptos"/>
        </w:rPr>
        <w:t xml:space="preserve">AC34</w:t>
      </w:r>
      <w:r w:rsidRPr="00682E50">
        <w:rPr>
          <w:rFonts w:ascii="Aptos" w:hAnsi="Aptos"/>
        </w:rPr>
        <w:tab/>
      </w:r>
      <w:r w:rsidRPr="00682E50">
        <w:rPr>
          <w:rFonts w:ascii="Aptos" w:hAnsi="Aptos"/>
        </w:rPr>
        <w:tab/>
      </w:r>
      <w:r w:rsidRPr="00682E50">
        <w:rPr>
          <w:rFonts w:ascii="Aptos" w:hAnsi="Aptos" w:eastAsia="Aptos" w:cs="Aptos"/>
        </w:rPr>
        <w:t xml:space="preserve">34</w:t>
      </w:r>
      <w:r w:rsidRPr="00682E50">
        <w:rPr>
          <w:rFonts w:ascii="Aptos" w:hAnsi="Aptos" w:eastAsia="Aptos" w:cs="Aptos"/>
          <w:vertAlign w:val="superscript"/>
        </w:rPr>
        <w:t xml:space="preserve">.ª</w:t>
      </w:r>
      <w:r w:rsidRPr="00682E50">
        <w:rPr>
          <w:rFonts w:ascii="Aptos" w:hAnsi="Aptos" w:eastAsia="Aptos" w:cs="Aptos"/>
        </w:rPr>
        <w:t xml:space="preserve">reunión del Comité de Animales de la CITES (julio de 2024)</w:t>
      </w:r>
    </w:p>
    <w:p w:rsidRPr="00682E50" w:rsidR="00682E50" w:rsidP="00682E50" w:rsidRDefault="00682E50" w14:paraId="62DBFD44" w14:textId="77777777">
      <w:pPr>
        <w:spacing w:line="240" w:lineRule="auto"/>
        <w:rPr>
          <w:rFonts w:ascii="Aptos" w:hAnsi="Aptos" w:eastAsia="Aptos" w:cs="Aptos"/>
        </w:rPr>
      </w:pPr>
      <w:r w:rsidRPr="00682E50">
        <w:rPr>
          <w:rFonts w:ascii="Aptos" w:hAnsi="Aptos" w:eastAsia="Aptos" w:cs="Aptos"/>
          <w:lang w:val="en-US"/>
        </w:rPr>
        <w:t xml:space="preserve">BBNJ</w:t>
      </w:r>
      <w:r w:rsidRPr="00682E50">
        <w:rPr>
          <w:rFonts w:ascii="Aptos" w:hAnsi="Aptos"/>
        </w:rPr>
        <w:tab/>
      </w:r>
      <w:r w:rsidRPr="00682E50">
        <w:rPr>
          <w:rFonts w:ascii="Aptos" w:hAnsi="Aptos"/>
        </w:rPr>
        <w:tab/>
      </w:r>
      <w:r w:rsidRPr="00682E50">
        <w:rPr>
          <w:rFonts w:ascii="Aptos" w:hAnsi="Aptos" w:eastAsia="Aptos" w:cs="Aptos"/>
          <w:lang w:val="en-US"/>
        </w:rPr>
        <w:t xml:space="preserve">Biodiversidad fuera de la jurisdicción nacional</w:t>
      </w:r>
    </w:p>
    <w:p w:rsidRPr="00682E50" w:rsidR="00682E50" w:rsidP="00682E50" w:rsidRDefault="00682E50" w14:paraId="2C900BBF" w14:textId="77777777">
      <w:pPr>
        <w:spacing w:line="240" w:lineRule="auto"/>
        <w:rPr>
          <w:rFonts w:ascii="Aptos" w:hAnsi="Aptos" w:eastAsia="Aptos" w:cs="Aptos"/>
        </w:rPr>
      </w:pPr>
      <w:r w:rsidRPr="00682E50">
        <w:rPr>
          <w:rFonts w:ascii="Aptos" w:hAnsi="Aptos" w:eastAsia="Aptos" w:cs="Aptos"/>
        </w:rPr>
        <w:t xml:space="preserve">CDB</w:t>
      </w:r>
      <w:r w:rsidRPr="00682E50">
        <w:rPr>
          <w:rFonts w:ascii="Aptos" w:hAnsi="Aptos"/>
        </w:rPr>
        <w:tab/>
      </w:r>
      <w:r w:rsidRPr="00682E50">
        <w:rPr>
          <w:rFonts w:ascii="Aptos" w:hAnsi="Aptos"/>
        </w:rPr>
        <w:tab/>
      </w:r>
      <w:r w:rsidRPr="00682E50">
        <w:rPr>
          <w:rFonts w:ascii="Aptos" w:hAnsi="Aptos" w:eastAsia="Aptos" w:cs="Aptos"/>
        </w:rPr>
        <w:t xml:space="preserve">Convenio sobre la Diversidad Biológica</w:t>
      </w:r>
    </w:p>
    <w:p w:rsidRPr="00682E50" w:rsidR="00682E50" w:rsidP="00682E50" w:rsidRDefault="00682E50" w14:paraId="2D1F6366" w14:textId="77777777">
      <w:pPr>
        <w:spacing w:line="240" w:lineRule="auto"/>
        <w:rPr>
          <w:rFonts w:ascii="Aptos" w:hAnsi="Aptos" w:eastAsia="Aptos" w:cs="Aptos"/>
        </w:rPr>
      </w:pPr>
      <w:r w:rsidRPr="00682E50">
        <w:rPr>
          <w:rFonts w:ascii="Aptos" w:hAnsi="Aptos" w:eastAsia="Aptos" w:cs="Aptos"/>
        </w:rPr>
        <w:t xml:space="preserve">CMS</w:t>
      </w:r>
      <w:r w:rsidRPr="00682E50">
        <w:rPr>
          <w:rFonts w:ascii="Aptos" w:hAnsi="Aptos"/>
        </w:rPr>
        <w:tab/>
      </w:r>
      <w:r w:rsidRPr="00682E50">
        <w:rPr>
          <w:rFonts w:ascii="Aptos" w:hAnsi="Aptos"/>
        </w:rPr>
        <w:tab/>
      </w:r>
      <w:r w:rsidRPr="00682E50">
        <w:rPr>
          <w:rFonts w:ascii="Aptos" w:hAnsi="Aptos" w:eastAsia="Aptos" w:cs="Aptos"/>
        </w:rPr>
        <w:t xml:space="preserve">Convención sobre la Conservación de las Especies Migratorias de Animales Silvestres</w:t>
      </w:r>
    </w:p>
    <w:p w:rsidRPr="00682E50" w:rsidR="00682E50" w:rsidP="00682E50" w:rsidRDefault="00682E50" w14:paraId="2834FEB2" w14:textId="77777777">
      <w:pPr>
        <w:spacing w:line="240" w:lineRule="auto"/>
        <w:rPr>
          <w:rFonts w:ascii="Aptos" w:hAnsi="Aptos" w:eastAsia="Aptos" w:cs="Aptos"/>
        </w:rPr>
      </w:pPr>
      <w:r w:rsidRPr="00682E50">
        <w:rPr>
          <w:rFonts w:ascii="Aptos" w:hAnsi="Aptos" w:eastAsia="Aptos" w:cs="Aptos"/>
        </w:rPr>
        <w:t xml:space="preserve">CoP</w:t>
      </w:r>
      <w:r w:rsidRPr="00682E50">
        <w:rPr>
          <w:rFonts w:ascii="Aptos" w:hAnsi="Aptos"/>
        </w:rPr>
        <w:tab/>
      </w:r>
      <w:r w:rsidRPr="00682E50">
        <w:rPr>
          <w:rFonts w:ascii="Aptos" w:hAnsi="Aptos"/>
        </w:rPr>
        <w:tab/>
      </w:r>
      <w:r w:rsidRPr="00682E50">
        <w:rPr>
          <w:rFonts w:ascii="Aptos" w:hAnsi="Aptos" w:eastAsia="Aptos" w:cs="Aptos"/>
        </w:rPr>
        <w:t xml:space="preserve">reunión de la Conferencia de las Partes</w:t>
      </w:r>
    </w:p>
    <w:p w:rsidRPr="00682E50" w:rsidR="00682E50" w:rsidP="00682E50" w:rsidRDefault="00682E50" w14:paraId="141BC6D0" w14:textId="77777777">
      <w:pPr>
        <w:spacing w:line="240" w:lineRule="auto"/>
        <w:rPr>
          <w:rFonts w:ascii="Aptos" w:hAnsi="Aptos" w:eastAsia="Aptos" w:cs="Aptos"/>
        </w:rPr>
      </w:pPr>
      <w:r w:rsidRPr="00682E50">
        <w:rPr>
          <w:rFonts w:ascii="Aptos" w:hAnsi="Aptos" w:eastAsia="Aptos" w:cs="Aptos"/>
        </w:rPr>
        <w:t xml:space="preserve">CDB CoP16</w:t>
      </w:r>
      <w:r w:rsidRPr="00682E50">
        <w:rPr>
          <w:rFonts w:ascii="Aptos" w:hAnsi="Aptos"/>
        </w:rPr>
        <w:tab/>
      </w:r>
      <w:r w:rsidRPr="00682E50">
        <w:rPr>
          <w:rFonts w:ascii="Aptos" w:hAnsi="Aptos" w:eastAsia="Aptos" w:cs="Aptos"/>
        </w:rPr>
        <w:t xml:space="preserve">16</w:t>
      </w:r>
      <w:r w:rsidRPr="00682E50">
        <w:rPr>
          <w:rFonts w:ascii="Aptos" w:hAnsi="Aptos" w:eastAsia="Aptos" w:cs="Aptos"/>
          <w:vertAlign w:val="superscript"/>
        </w:rPr>
        <w:t xml:space="preserve">.ª</w:t>
      </w:r>
      <w:r w:rsidRPr="00682E50">
        <w:rPr>
          <w:rFonts w:ascii="Aptos" w:hAnsi="Aptos" w:eastAsia="Aptos" w:cs="Aptos"/>
        </w:rPr>
        <w:t xml:space="preserve">reunión de la Conferencia de las Partes del CDB (octubre de 2024)</w:t>
      </w:r>
    </w:p>
    <w:p w:rsidRPr="00682E50" w:rsidR="00682E50" w:rsidP="00682E50" w:rsidRDefault="00682E50" w14:paraId="08A6CC5E" w14:textId="77777777">
      <w:pPr>
        <w:spacing w:line="240" w:lineRule="auto"/>
        <w:rPr>
          <w:rFonts w:ascii="Aptos" w:hAnsi="Aptos" w:eastAsia="Aptos" w:cs="Aptos"/>
        </w:rPr>
      </w:pPr>
      <w:r w:rsidRPr="00682E50">
        <w:rPr>
          <w:rFonts w:ascii="Aptos" w:hAnsi="Aptos" w:eastAsia="Aptos" w:cs="Aptos"/>
        </w:rPr>
        <w:t xml:space="preserve">CoP19</w:t>
      </w:r>
      <w:r w:rsidRPr="00682E50">
        <w:rPr>
          <w:rFonts w:ascii="Aptos" w:hAnsi="Aptos"/>
        </w:rPr>
        <w:tab/>
      </w:r>
      <w:r w:rsidRPr="00682E50">
        <w:rPr>
          <w:rFonts w:ascii="Aptos" w:hAnsi="Aptos"/>
        </w:rPr>
        <w:tab/>
      </w:r>
      <w:r w:rsidRPr="00682E50">
        <w:rPr>
          <w:rFonts w:ascii="Aptos" w:hAnsi="Aptos" w:eastAsia="Aptos" w:cs="Aptos"/>
        </w:rPr>
        <w:t xml:space="preserve">19</w:t>
      </w:r>
      <w:r w:rsidRPr="00682E50">
        <w:rPr>
          <w:rFonts w:ascii="Aptos" w:hAnsi="Aptos" w:eastAsia="Aptos" w:cs="Aptos"/>
          <w:vertAlign w:val="superscript"/>
        </w:rPr>
        <w:t xml:space="preserve">.ª</w:t>
      </w:r>
      <w:r w:rsidRPr="00682E50">
        <w:rPr>
          <w:rFonts w:ascii="Aptos" w:hAnsi="Aptos" w:eastAsia="Aptos" w:cs="Aptos"/>
        </w:rPr>
        <w:t xml:space="preserve">reunión de la Conferencia de las Partes de la CITES (noviembre de 2022)</w:t>
      </w:r>
    </w:p>
    <w:p w:rsidRPr="00682E50" w:rsidR="00682E50" w:rsidP="00682E50" w:rsidRDefault="00682E50" w14:paraId="01FAEB79" w14:textId="77777777">
      <w:pPr>
        <w:spacing w:line="240" w:lineRule="auto"/>
        <w:rPr>
          <w:rFonts w:ascii="Aptos" w:hAnsi="Aptos" w:eastAsia="Aptos" w:cs="Aptos"/>
        </w:rPr>
      </w:pPr>
      <w:r w:rsidRPr="00682E50">
        <w:rPr>
          <w:rFonts w:ascii="Aptos" w:hAnsi="Aptos" w:eastAsia="Aptos" w:cs="Aptos"/>
        </w:rPr>
        <w:t xml:space="preserve">CoP20</w:t>
      </w:r>
      <w:r w:rsidRPr="00682E50">
        <w:rPr>
          <w:rFonts w:ascii="Aptos" w:hAnsi="Aptos"/>
        </w:rPr>
        <w:tab/>
      </w:r>
      <w:r w:rsidRPr="00682E50">
        <w:rPr>
          <w:rFonts w:ascii="Aptos" w:hAnsi="Aptos"/>
        </w:rPr>
        <w:tab/>
      </w:r>
      <w:r w:rsidRPr="00682E50">
        <w:rPr>
          <w:rFonts w:ascii="Aptos" w:hAnsi="Aptos" w:eastAsia="Aptos" w:cs="Aptos"/>
        </w:rPr>
        <w:t xml:space="preserve">20</w:t>
      </w:r>
      <w:r w:rsidRPr="00682E50">
        <w:rPr>
          <w:rFonts w:ascii="Aptos" w:hAnsi="Aptos" w:eastAsia="Aptos" w:cs="Aptos"/>
          <w:vertAlign w:val="superscript"/>
        </w:rPr>
        <w:t xml:space="preserve">.ª</w:t>
      </w:r>
      <w:r w:rsidRPr="00682E50">
        <w:rPr>
          <w:rFonts w:ascii="Aptos" w:hAnsi="Aptos" w:eastAsia="Aptos" w:cs="Aptos"/>
        </w:rPr>
        <w:t xml:space="preserve">reunión de la Conferencia de las Partes de la CITES (noviembre/diciembre de 2025)</w:t>
      </w:r>
    </w:p>
    <w:p w:rsidRPr="00682E50" w:rsidR="00682E50" w:rsidP="00682E50" w:rsidRDefault="00682E50" w14:paraId="122832B6" w14:textId="77777777">
      <w:pPr>
        <w:spacing w:line="240" w:lineRule="auto"/>
        <w:rPr>
          <w:rFonts w:ascii="Aptos" w:hAnsi="Aptos" w:eastAsia="Aptos" w:cs="Aptos"/>
        </w:rPr>
      </w:pPr>
      <w:r w:rsidRPr="00682E50">
        <w:rPr>
          <w:rFonts w:ascii="Aptos" w:hAnsi="Aptos" w:eastAsia="Aptos" w:cs="Aptos"/>
        </w:rPr>
        <w:t xml:space="preserve">UE</w:t>
      </w:r>
      <w:r w:rsidRPr="00682E50">
        <w:rPr>
          <w:rFonts w:ascii="Aptos" w:hAnsi="Aptos"/>
        </w:rPr>
        <w:tab/>
      </w:r>
      <w:r w:rsidRPr="00682E50">
        <w:rPr>
          <w:rFonts w:ascii="Aptos" w:hAnsi="Aptos"/>
        </w:rPr>
        <w:tab/>
      </w:r>
      <w:r w:rsidRPr="00682E50">
        <w:rPr>
          <w:rFonts w:ascii="Aptos" w:hAnsi="Aptos" w:eastAsia="Aptos" w:cs="Aptos"/>
        </w:rPr>
        <w:t xml:space="preserve">Unión Europea</w:t>
      </w:r>
    </w:p>
    <w:p w:rsidRPr="00682E50" w:rsidR="00682E50" w:rsidP="00682E50" w:rsidRDefault="00682E50" w14:paraId="2B2E3AF9" w14:textId="77777777">
      <w:pPr>
        <w:spacing w:line="240" w:lineRule="auto"/>
        <w:rPr>
          <w:rFonts w:ascii="Aptos" w:hAnsi="Aptos" w:eastAsia="Aptos" w:cs="Aptos"/>
        </w:rPr>
      </w:pPr>
      <w:r w:rsidRPr="00682E50">
        <w:rPr>
          <w:rFonts w:ascii="Aptos" w:hAnsi="Aptos" w:eastAsia="Aptos" w:cs="Aptos"/>
        </w:rPr>
        <w:t xml:space="preserve">FAO</w:t>
      </w:r>
      <w:r w:rsidRPr="00682E50">
        <w:rPr>
          <w:rFonts w:ascii="Aptos" w:hAnsi="Aptos"/>
        </w:rPr>
        <w:tab/>
      </w:r>
      <w:r w:rsidRPr="00682E50">
        <w:rPr>
          <w:rFonts w:ascii="Aptos" w:hAnsi="Aptos"/>
        </w:rPr>
        <w:tab/>
      </w:r>
      <w:r w:rsidRPr="00682E50">
        <w:rPr>
          <w:rFonts w:ascii="Aptos" w:hAnsi="Aptos" w:eastAsia="Aptos" w:cs="Aptos"/>
        </w:rPr>
        <w:t xml:space="preserve">Organización de las Naciones Unidas para la Alimentación y la Agricultura</w:t>
      </w:r>
    </w:p>
    <w:p w:rsidRPr="00682E50" w:rsidR="00682E50" w:rsidP="00682E50" w:rsidRDefault="00682E50" w14:paraId="27993E8C" w14:textId="77777777">
      <w:pPr>
        <w:spacing w:line="240" w:lineRule="auto"/>
        <w:rPr>
          <w:rFonts w:ascii="Aptos" w:hAnsi="Aptos" w:eastAsia="Aptos" w:cs="Aptos"/>
        </w:rPr>
      </w:pPr>
      <w:r w:rsidRPr="00682E50">
        <w:rPr>
          <w:rFonts w:ascii="Aptos" w:hAnsi="Aptos" w:eastAsia="Aptos" w:cs="Aptos"/>
        </w:rPr>
        <w:t xml:space="preserve">GBF</w:t>
      </w:r>
      <w:r w:rsidRPr="00682E50">
        <w:rPr>
          <w:rFonts w:ascii="Aptos" w:hAnsi="Aptos"/>
        </w:rPr>
        <w:tab/>
      </w:r>
      <w:r w:rsidRPr="00682E50">
        <w:rPr>
          <w:rFonts w:ascii="Aptos" w:hAnsi="Aptos"/>
        </w:rPr>
        <w:tab/>
      </w:r>
      <w:r w:rsidRPr="00682E50">
        <w:rPr>
          <w:rFonts w:ascii="Aptos" w:hAnsi="Aptos" w:eastAsia="Aptos" w:cs="Aptos"/>
        </w:rPr>
        <w:t xml:space="preserve">Marco Global de Biodiversidad de Kunming-Montreal</w:t>
      </w:r>
    </w:p>
    <w:p w:rsidRPr="00682E50" w:rsidR="00682E50" w:rsidP="00682E50" w:rsidRDefault="00682E50" w14:paraId="3D013D67" w14:textId="77777777">
      <w:pPr>
        <w:spacing w:line="240" w:lineRule="auto"/>
        <w:rPr>
          <w:rFonts w:ascii="Aptos" w:hAnsi="Aptos" w:eastAsia="Aptos" w:cs="Aptos"/>
        </w:rPr>
      </w:pPr>
      <w:r w:rsidRPr="00682E50">
        <w:rPr>
          <w:rFonts w:ascii="Aptos" w:hAnsi="Aptos" w:eastAsia="Aptos" w:cs="Aptos"/>
        </w:rPr>
        <w:t xml:space="preserve">ICCWC</w:t>
      </w:r>
      <w:r w:rsidRPr="00682E50">
        <w:rPr>
          <w:rFonts w:ascii="Aptos" w:hAnsi="Aptos"/>
        </w:rPr>
        <w:tab/>
      </w:r>
      <w:r w:rsidRPr="00682E50">
        <w:rPr>
          <w:rFonts w:ascii="Aptos" w:hAnsi="Aptos"/>
        </w:rPr>
        <w:tab/>
      </w:r>
      <w:r w:rsidRPr="00682E50">
        <w:rPr>
          <w:rFonts w:ascii="Aptos" w:hAnsi="Aptos" w:eastAsia="Aptos" w:cs="Aptos"/>
        </w:rPr>
        <w:t xml:space="preserve">Consorcio Internacional para la Lucha contra los Delitos contra la Vida Silvestre</w:t>
      </w:r>
    </w:p>
    <w:p w:rsidRPr="00682E50" w:rsidR="00682E50" w:rsidP="00682E50" w:rsidRDefault="00682E50" w14:paraId="739D6943" w14:textId="77777777">
      <w:pPr>
        <w:spacing w:line="240" w:lineRule="auto"/>
        <w:rPr>
          <w:rFonts w:ascii="Aptos" w:hAnsi="Aptos" w:eastAsia="Aptos" w:cs="Aptos"/>
        </w:rPr>
      </w:pPr>
      <w:r w:rsidRPr="00682E50">
        <w:rPr>
          <w:rFonts w:ascii="Aptos" w:hAnsi="Aptos" w:eastAsia="Aptos" w:cs="Aptos"/>
        </w:rPr>
        <w:t xml:space="preserve">IFS</w:t>
      </w:r>
      <w:r w:rsidRPr="00682E50">
        <w:rPr>
          <w:rFonts w:ascii="Aptos" w:hAnsi="Aptos"/>
        </w:rPr>
        <w:tab/>
      </w:r>
      <w:r w:rsidRPr="00682E50">
        <w:rPr>
          <w:rFonts w:ascii="Aptos" w:hAnsi="Aptos"/>
        </w:rPr>
        <w:tab/>
      </w:r>
      <w:r w:rsidRPr="00682E50">
        <w:rPr>
          <w:rFonts w:ascii="Aptos" w:hAnsi="Aptos" w:eastAsia="Aptos" w:cs="Aptos"/>
        </w:rPr>
        <w:t xml:space="preserve">Introducción desde el mar</w:t>
      </w:r>
    </w:p>
    <w:p w:rsidRPr="00682E50" w:rsidR="00682E50" w:rsidP="00682E50" w:rsidRDefault="00682E50" w14:paraId="78DC2F2A" w14:textId="77777777">
      <w:pPr>
        <w:spacing w:line="240" w:lineRule="auto"/>
        <w:rPr>
          <w:rFonts w:ascii="Aptos" w:hAnsi="Aptos" w:eastAsia="Aptos" w:cs="Aptos"/>
        </w:rPr>
      </w:pPr>
      <w:r w:rsidRPr="00682E50">
        <w:rPr>
          <w:rFonts w:ascii="Aptos" w:hAnsi="Aptos" w:eastAsia="Aptos" w:cs="Aptos"/>
        </w:rPr>
        <w:t xml:space="preserve">OIG</w:t>
      </w:r>
      <w:r w:rsidRPr="00682E50">
        <w:rPr>
          <w:rFonts w:ascii="Aptos" w:hAnsi="Aptos"/>
        </w:rPr>
        <w:tab/>
      </w:r>
      <w:r w:rsidRPr="00682E50">
        <w:rPr>
          <w:rFonts w:ascii="Aptos" w:hAnsi="Aptos"/>
        </w:rPr>
        <w:tab/>
      </w:r>
      <w:r w:rsidRPr="00682E50">
        <w:rPr>
          <w:rFonts w:ascii="Aptos" w:hAnsi="Aptos" w:eastAsia="Aptos" w:cs="Aptos"/>
        </w:rPr>
        <w:t xml:space="preserve">Organización intergubernamental</w:t>
      </w:r>
    </w:p>
    <w:p w:rsidRPr="00682E50" w:rsidR="00682E50" w:rsidP="00682E50" w:rsidRDefault="00682E50" w14:paraId="320A59D1" w14:textId="77777777">
      <w:pPr>
        <w:spacing w:line="240" w:lineRule="auto"/>
        <w:rPr>
          <w:rFonts w:ascii="Aptos" w:hAnsi="Aptos" w:eastAsia="Aptos" w:cs="Aptos"/>
        </w:rPr>
      </w:pPr>
      <w:r w:rsidRPr="00682E50">
        <w:rPr>
          <w:rFonts w:ascii="Aptos" w:hAnsi="Aptos" w:eastAsia="Aptos" w:cs="Aptos"/>
          <w:lang w:val="en-US"/>
        </w:rPr>
        <w:t xml:space="preserve">IPBES</w:t>
      </w:r>
      <w:r w:rsidRPr="00682E50">
        <w:rPr>
          <w:rFonts w:ascii="Aptos" w:hAnsi="Aptos"/>
        </w:rPr>
        <w:tab/>
      </w:r>
      <w:r w:rsidRPr="00682E50">
        <w:rPr>
          <w:rFonts w:ascii="Aptos" w:hAnsi="Aptos"/>
        </w:rPr>
        <w:tab/>
      </w:r>
      <w:r w:rsidRPr="00682E50">
        <w:rPr>
          <w:rFonts w:ascii="Aptos" w:hAnsi="Aptos" w:eastAsia="Aptos" w:cs="Aptos"/>
          <w:lang w:val="en-US"/>
        </w:rPr>
        <w:t xml:space="preserve">Plataforma Intergubernamental Científico-Normativa sobre </w:t>
      </w:r>
      <w:r w:rsidRPr="00682E50">
        <w:rPr>
          <w:rFonts w:ascii="Aptos" w:hAnsi="Aptos" w:eastAsia="Aptos" w:cs="Aptos"/>
        </w:rPr>
        <w:t xml:space="preserve">Diversidad Biológica y Servicios de los Ecosistemas</w:t>
      </w:r>
    </w:p>
    <w:p w:rsidRPr="00682E50" w:rsidR="00682E50" w:rsidP="00682E50" w:rsidRDefault="00682E50" w14:paraId="52246EA2" w14:textId="77777777">
      <w:pPr>
        <w:spacing w:line="240" w:lineRule="auto"/>
        <w:rPr>
          <w:rFonts w:ascii="Aptos" w:hAnsi="Aptos" w:eastAsia="Aptos" w:cs="Aptos"/>
          <w:lang w:val="en-US"/>
        </w:rPr>
      </w:pPr>
      <w:r w:rsidRPr="00682E50">
        <w:rPr>
          <w:rFonts w:ascii="Aptos" w:hAnsi="Aptos" w:eastAsia="Aptos" w:cs="Aptos"/>
          <w:lang w:val="en-US"/>
        </w:rPr>
        <w:t xml:space="preserve">IP </w:t>
      </w:r>
      <w:r w:rsidRPr="00682E50">
        <w:rPr>
          <w:rFonts w:ascii="Aptos" w:hAnsi="Aptos"/>
        </w:rPr>
        <w:tab/>
      </w:r>
      <w:r w:rsidRPr="00682E50">
        <w:rPr>
          <w:rFonts w:ascii="Aptos" w:hAnsi="Aptos"/>
        </w:rPr>
        <w:tab/>
      </w:r>
      <w:r w:rsidRPr="00682E50">
        <w:rPr>
          <w:rFonts w:ascii="Aptos" w:hAnsi="Aptos" w:eastAsia="Aptos" w:cs="Aptos"/>
          <w:lang w:val="en-US"/>
        </w:rPr>
        <w:t xml:space="preserve">Pueblos indígenas</w:t>
      </w:r>
    </w:p>
    <w:p w:rsidRPr="00682E50" w:rsidR="00682E50" w:rsidP="00682E50" w:rsidRDefault="00682E50" w14:paraId="5AB5102C" w14:textId="77777777">
      <w:pPr>
        <w:spacing w:line="240" w:lineRule="auto"/>
        <w:rPr>
          <w:rFonts w:ascii="Aptos" w:hAnsi="Aptos" w:eastAsia="Aptos" w:cs="Aptos"/>
          <w:lang w:val="en-US"/>
        </w:rPr>
      </w:pPr>
      <w:r w:rsidRPr="00682E50">
        <w:rPr>
          <w:rFonts w:ascii="Aptos" w:hAnsi="Aptos" w:eastAsia="Aptos" w:cs="Aptos"/>
          <w:lang w:val="en-US"/>
        </w:rPr>
        <w:t xml:space="preserve">LAF</w:t>
      </w:r>
      <w:r w:rsidRPr="00682E50">
        <w:rPr>
          <w:rFonts w:ascii="Aptos" w:hAnsi="Aptos"/>
        </w:rPr>
        <w:tab/>
      </w:r>
      <w:r w:rsidRPr="00682E50">
        <w:rPr>
          <w:rFonts w:ascii="Aptos" w:hAnsi="Aptos"/>
        </w:rPr>
        <w:tab/>
      </w:r>
      <w:r w:rsidRPr="00682E50">
        <w:rPr>
          <w:rFonts w:ascii="Aptos" w:hAnsi="Aptos" w:eastAsia="Aptos" w:cs="Aptos"/>
          <w:lang w:val="en-US"/>
        </w:rPr>
        <w:t xml:space="preserve">Conclusiones sobre la adquisición legal</w:t>
      </w:r>
    </w:p>
    <w:p w:rsidRPr="00682E50" w:rsidR="00682E50" w:rsidP="00682E50" w:rsidRDefault="00682E50" w14:paraId="6F3A4139" w14:textId="77777777">
      <w:pPr>
        <w:spacing w:line="240" w:lineRule="auto"/>
        <w:rPr>
          <w:rFonts w:ascii="Aptos" w:hAnsi="Aptos" w:eastAsia="Aptos" w:cs="Aptos"/>
          <w:lang w:val="en-US"/>
        </w:rPr>
      </w:pPr>
      <w:r w:rsidRPr="00682E50">
        <w:rPr>
          <w:rFonts w:ascii="Aptos" w:hAnsi="Aptos" w:eastAsia="Aptos" w:cs="Aptos"/>
          <w:lang w:val="en-US"/>
        </w:rPr>
        <w:t xml:space="preserve">LCs</w:t>
      </w:r>
      <w:r w:rsidRPr="00682E50">
        <w:rPr>
          <w:rFonts w:ascii="Aptos" w:hAnsi="Aptos"/>
        </w:rPr>
        <w:tab/>
      </w:r>
      <w:r w:rsidRPr="00682E50">
        <w:rPr>
          <w:rFonts w:ascii="Aptos" w:hAnsi="Aptos" w:eastAsia="Aptos" w:cs="Aptos"/>
          <w:lang w:val="en-US"/>
        </w:rPr>
        <w:t xml:space="preserve"> </w:t>
      </w:r>
      <w:r w:rsidRPr="00682E50">
        <w:rPr>
          <w:rFonts w:ascii="Aptos" w:hAnsi="Aptos"/>
        </w:rPr>
        <w:tab/>
      </w:r>
      <w:r w:rsidRPr="00682E50">
        <w:rPr>
          <w:rFonts w:ascii="Aptos" w:hAnsi="Aptos" w:eastAsia="Aptos" w:cs="Aptos"/>
          <w:lang w:val="en-US"/>
        </w:rPr>
        <w:t xml:space="preserve">Comunidades locales</w:t>
      </w:r>
    </w:p>
    <w:p w:rsidRPr="00682E50" w:rsidR="00682E50" w:rsidP="00682E50" w:rsidRDefault="00682E50" w14:paraId="28E50E5C" w14:textId="77777777">
      <w:pPr>
        <w:spacing w:line="240" w:lineRule="auto"/>
        <w:rPr>
          <w:rFonts w:ascii="Aptos" w:hAnsi="Aptos" w:eastAsia="Aptos" w:cs="Aptos"/>
        </w:rPr>
      </w:pPr>
      <w:r w:rsidRPr="00682E50">
        <w:rPr>
          <w:rFonts w:ascii="Aptos" w:hAnsi="Aptos" w:eastAsia="Aptos" w:cs="Aptos"/>
        </w:rPr>
        <w:t xml:space="preserve">UICN</w:t>
      </w:r>
      <w:r w:rsidRPr="00682E50">
        <w:rPr>
          <w:rFonts w:ascii="Aptos" w:hAnsi="Aptos"/>
        </w:rPr>
        <w:tab/>
      </w:r>
      <w:r w:rsidRPr="00682E50">
        <w:rPr>
          <w:rFonts w:ascii="Aptos" w:hAnsi="Aptos"/>
        </w:rPr>
        <w:tab/>
      </w:r>
      <w:r w:rsidRPr="00682E50">
        <w:rPr>
          <w:rFonts w:ascii="Aptos" w:hAnsi="Aptos" w:eastAsia="Aptos" w:cs="Aptos"/>
        </w:rPr>
        <w:t xml:space="preserve">Unión Internacional para la Conservación de la Naturaleza</w:t>
      </w:r>
    </w:p>
    <w:p w:rsidRPr="00682E50" w:rsidR="00682E50" w:rsidP="00682E50" w:rsidRDefault="00682E50" w14:paraId="7664B36A" w14:textId="77777777">
      <w:pPr>
        <w:spacing w:line="240" w:lineRule="auto"/>
        <w:rPr>
          <w:rFonts w:ascii="Aptos" w:hAnsi="Aptos" w:eastAsia="Aptos" w:cs="Aptos"/>
        </w:rPr>
      </w:pPr>
      <w:r w:rsidRPr="00682E50">
        <w:rPr>
          <w:rFonts w:ascii="Aptos" w:hAnsi="Aptos" w:eastAsia="Aptos" w:cs="Aptos"/>
        </w:rPr>
        <w:t xml:space="preserve">MA</w:t>
      </w:r>
      <w:r w:rsidRPr="00682E50">
        <w:rPr>
          <w:rFonts w:ascii="Aptos" w:hAnsi="Aptos"/>
        </w:rPr>
        <w:tab/>
      </w:r>
      <w:r w:rsidRPr="00682E50">
        <w:rPr>
          <w:rFonts w:ascii="Aptos" w:hAnsi="Aptos"/>
        </w:rPr>
        <w:tab/>
      </w:r>
      <w:r w:rsidRPr="00682E50">
        <w:rPr>
          <w:rFonts w:ascii="Aptos" w:hAnsi="Aptos" w:eastAsia="Aptos" w:cs="Aptos"/>
        </w:rPr>
        <w:t xml:space="preserve">Autoridad de Gestión de la CITES</w:t>
      </w:r>
    </w:p>
    <w:p w:rsidRPr="00682E50" w:rsidR="00682E50" w:rsidP="00682E50" w:rsidRDefault="00682E50" w14:paraId="1043DB1A" w14:textId="77777777">
      <w:pPr>
        <w:spacing w:line="240" w:lineRule="auto"/>
        <w:rPr>
          <w:rFonts w:ascii="Aptos" w:hAnsi="Aptos" w:eastAsia="Aptos" w:cs="Aptos"/>
        </w:rPr>
      </w:pPr>
      <w:r w:rsidRPr="00682E50">
        <w:rPr>
          <w:rFonts w:ascii="Aptos" w:hAnsi="Aptos" w:eastAsia="Aptos" w:cs="Aptos"/>
        </w:rPr>
        <w:t xml:space="preserve">MEA</w:t>
      </w:r>
      <w:r w:rsidRPr="00682E50">
        <w:rPr>
          <w:rFonts w:ascii="Aptos" w:hAnsi="Aptos"/>
        </w:rPr>
        <w:tab/>
      </w:r>
      <w:r w:rsidRPr="00682E50">
        <w:rPr>
          <w:rFonts w:ascii="Aptos" w:hAnsi="Aptos"/>
        </w:rPr>
        <w:tab/>
      </w:r>
      <w:r w:rsidRPr="00682E50">
        <w:rPr>
          <w:rFonts w:ascii="Aptos" w:hAnsi="Aptos" w:eastAsia="Aptos" w:cs="Aptos"/>
        </w:rPr>
        <w:t xml:space="preserve">Acuerdo ambiental multilateral</w:t>
      </w:r>
    </w:p>
    <w:p w:rsidRPr="00682E50" w:rsidR="00682E50" w:rsidP="00682E50" w:rsidRDefault="00682E50" w14:paraId="16393603" w14:textId="77777777">
      <w:pPr>
        <w:spacing w:line="240" w:lineRule="auto"/>
        <w:rPr>
          <w:rFonts w:ascii="Aptos" w:hAnsi="Aptos" w:eastAsia="Aptos" w:cs="Aptos"/>
        </w:rPr>
      </w:pPr>
      <w:r w:rsidRPr="00682E50">
        <w:rPr>
          <w:rFonts w:ascii="Aptos" w:hAnsi="Aptos" w:eastAsia="Aptos" w:cs="Aptos"/>
        </w:rPr>
        <w:t xml:space="preserve">MoU</w:t>
      </w:r>
      <w:r w:rsidRPr="00682E50">
        <w:rPr>
          <w:rFonts w:ascii="Aptos" w:hAnsi="Aptos"/>
        </w:rPr>
        <w:tab/>
      </w:r>
      <w:r w:rsidRPr="00682E50">
        <w:rPr>
          <w:rFonts w:ascii="Aptos" w:hAnsi="Aptos"/>
        </w:rPr>
        <w:tab/>
      </w:r>
      <w:r w:rsidRPr="00682E50">
        <w:rPr>
          <w:rFonts w:ascii="Aptos" w:hAnsi="Aptos" w:eastAsia="Aptos" w:cs="Aptos"/>
        </w:rPr>
        <w:t xml:space="preserve">Memorando de entendimiento</w:t>
      </w:r>
    </w:p>
    <w:p w:rsidRPr="00682E50" w:rsidR="00682E50" w:rsidP="00682E50" w:rsidRDefault="00682E50" w14:paraId="2BD9C218" w14:textId="77777777">
      <w:pPr>
        <w:spacing w:line="240" w:lineRule="auto"/>
        <w:rPr>
          <w:rFonts w:ascii="Aptos" w:hAnsi="Aptos" w:eastAsia="Aptos" w:cs="Aptos"/>
        </w:rPr>
      </w:pPr>
      <w:r w:rsidRPr="00682E50">
        <w:rPr>
          <w:rFonts w:ascii="Aptos" w:hAnsi="Aptos" w:eastAsia="Aptos" w:cs="Aptos"/>
        </w:rPr>
        <w:t xml:space="preserve">NDF</w:t>
      </w:r>
      <w:r w:rsidRPr="00682E50">
        <w:rPr>
          <w:rFonts w:ascii="Aptos" w:hAnsi="Aptos"/>
        </w:rPr>
        <w:tab/>
      </w:r>
      <w:r w:rsidRPr="00682E50">
        <w:rPr>
          <w:rFonts w:ascii="Aptos" w:hAnsi="Aptos"/>
        </w:rPr>
        <w:tab/>
      </w:r>
      <w:r w:rsidRPr="00682E50">
        <w:rPr>
          <w:rFonts w:ascii="Aptos" w:hAnsi="Aptos" w:eastAsia="Aptos" w:cs="Aptos"/>
        </w:rPr>
        <w:t xml:space="preserve">Conclusión de que no existe perjuicio de la CITES</w:t>
      </w:r>
    </w:p>
    <w:p w:rsidRPr="00682E50" w:rsidR="00682E50" w:rsidP="00682E50" w:rsidRDefault="00682E50" w14:paraId="5BF7E49D" w14:textId="77777777">
      <w:pPr>
        <w:spacing w:line="240" w:lineRule="auto"/>
        <w:rPr>
          <w:rFonts w:ascii="Aptos" w:hAnsi="Aptos" w:eastAsia="Aptos" w:cs="Aptos"/>
        </w:rPr>
      </w:pPr>
      <w:r w:rsidRPr="00682E50">
        <w:rPr>
          <w:rFonts w:ascii="Aptos" w:hAnsi="Aptos" w:eastAsia="Aptos" w:cs="Aptos"/>
        </w:rPr>
        <w:t xml:space="preserve">NIAP</w:t>
      </w:r>
      <w:r w:rsidRPr="00682E50">
        <w:rPr>
          <w:rFonts w:ascii="Aptos" w:hAnsi="Aptos"/>
        </w:rPr>
        <w:tab/>
      </w:r>
      <w:r w:rsidRPr="00682E50">
        <w:rPr>
          <w:rFonts w:ascii="Aptos" w:hAnsi="Aptos"/>
        </w:rPr>
        <w:tab/>
      </w:r>
      <w:r w:rsidRPr="00682E50">
        <w:rPr>
          <w:rFonts w:ascii="Aptos" w:hAnsi="Aptos" w:eastAsia="Aptos" w:cs="Aptos"/>
        </w:rPr>
        <w:t xml:space="preserve">Plan de Acción Nacional sobre el Marfil</w:t>
      </w:r>
    </w:p>
    <w:p w:rsidRPr="00682E50" w:rsidR="00682E50" w:rsidP="00682E50" w:rsidRDefault="00682E50" w14:paraId="500A4954" w14:textId="77777777">
      <w:pPr>
        <w:spacing w:line="240" w:lineRule="auto"/>
        <w:rPr>
          <w:rFonts w:ascii="Aptos" w:hAnsi="Aptos" w:eastAsia="Aptos" w:cs="Aptos"/>
        </w:rPr>
      </w:pPr>
      <w:r w:rsidRPr="00682E50">
        <w:rPr>
          <w:rFonts w:ascii="Aptos" w:hAnsi="Aptos" w:eastAsia="Aptos" w:cs="Aptos"/>
        </w:rPr>
        <w:t xml:space="preserve">NIRAP</w:t>
      </w:r>
      <w:r w:rsidRPr="00682E50">
        <w:rPr>
          <w:rFonts w:ascii="Aptos" w:hAnsi="Aptos"/>
        </w:rPr>
        <w:tab/>
      </w:r>
      <w:r w:rsidRPr="00682E50">
        <w:rPr>
          <w:rFonts w:ascii="Aptos" w:hAnsi="Aptos"/>
        </w:rPr>
        <w:tab/>
      </w:r>
      <w:r w:rsidRPr="00682E50">
        <w:rPr>
          <w:rFonts w:ascii="Aptos" w:hAnsi="Aptos" w:eastAsia="Aptos" w:cs="Aptos"/>
        </w:rPr>
        <w:t xml:space="preserve">Plan de Acción Nacional sobre el Marfil y el Rinoceronte</w:t>
      </w:r>
    </w:p>
    <w:p w:rsidRPr="00682E50" w:rsidR="00682E50" w:rsidP="00682E50" w:rsidRDefault="00682E50" w14:paraId="35AC03BE" w14:textId="77777777">
      <w:pPr>
        <w:spacing w:line="240" w:lineRule="auto"/>
        <w:rPr>
          <w:rFonts w:ascii="Aptos" w:hAnsi="Aptos" w:eastAsia="Aptos" w:cs="Aptos"/>
          <w:lang w:val="en-US"/>
        </w:rPr>
      </w:pPr>
      <w:r w:rsidRPr="00682E50">
        <w:rPr>
          <w:rFonts w:ascii="Aptos" w:hAnsi="Aptos" w:eastAsia="Aptos" w:cs="Aptos"/>
          <w:lang w:val="en-US"/>
        </w:rPr>
        <w:t xml:space="preserve">ONG</w:t>
      </w:r>
      <w:r w:rsidRPr="00682E50">
        <w:rPr>
          <w:rFonts w:ascii="Aptos" w:hAnsi="Aptos"/>
        </w:rPr>
        <w:tab/>
      </w:r>
      <w:r w:rsidRPr="00682E50">
        <w:rPr>
          <w:rFonts w:ascii="Aptos" w:hAnsi="Aptos"/>
        </w:rPr>
        <w:tab/>
      </w:r>
      <w:r w:rsidRPr="00682E50">
        <w:rPr>
          <w:rFonts w:ascii="Aptos" w:hAnsi="Aptos" w:eastAsia="Aptos" w:cs="Aptos"/>
          <w:lang w:val="en-US"/>
        </w:rPr>
        <w:t xml:space="preserve">Organización no gubernamental</w:t>
      </w:r>
    </w:p>
    <w:p w:rsidRPr="00682E50" w:rsidR="00682E50" w:rsidP="00682E50" w:rsidRDefault="00682E50" w14:paraId="23185CE7" w14:textId="77777777">
      <w:pPr>
        <w:spacing w:line="240" w:lineRule="auto"/>
        <w:rPr>
          <w:rFonts w:ascii="Aptos" w:hAnsi="Aptos" w:eastAsia="Aptos" w:cs="Aptos"/>
          <w:lang w:val="en-US"/>
        </w:rPr>
      </w:pPr>
      <w:r w:rsidRPr="00682E50">
        <w:rPr>
          <w:rFonts w:ascii="Aptos" w:hAnsi="Aptos" w:eastAsia="Aptos" w:cs="Aptos"/>
          <w:lang w:val="en-US"/>
        </w:rPr>
        <w:t xml:space="preserve">PC</w:t>
      </w:r>
      <w:r w:rsidRPr="00682E50">
        <w:rPr>
          <w:rFonts w:ascii="Aptos" w:hAnsi="Aptos"/>
        </w:rPr>
        <w:tab/>
      </w:r>
      <w:r w:rsidRPr="00682E50">
        <w:rPr>
          <w:rFonts w:ascii="Aptos" w:hAnsi="Aptos"/>
        </w:rPr>
        <w:tab/>
      </w:r>
      <w:r w:rsidRPr="00682E50">
        <w:rPr>
          <w:rFonts w:ascii="Aptos" w:hAnsi="Aptos" w:eastAsia="Aptos" w:cs="Aptos"/>
          <w:lang w:val="en-US"/>
        </w:rPr>
        <w:t xml:space="preserve">CITES Comité de Plantas</w:t>
      </w:r>
    </w:p>
    <w:p w:rsidRPr="00682E50" w:rsidR="00682E50" w:rsidP="00682E50" w:rsidRDefault="00682E50" w14:paraId="78B0CB54" w14:textId="77777777">
      <w:pPr>
        <w:spacing w:line="240" w:lineRule="auto"/>
        <w:rPr>
          <w:rFonts w:ascii="Aptos" w:hAnsi="Aptos" w:eastAsia="Aptos" w:cs="Aptos"/>
          <w:lang w:val="en-GB"/>
        </w:rPr>
      </w:pPr>
      <w:r w:rsidRPr="00682E50">
        <w:rPr>
          <w:rFonts w:ascii="Aptos" w:hAnsi="Aptos" w:eastAsia="Aptos" w:cs="Aptos"/>
          <w:lang w:val="en-GB"/>
        </w:rPr>
        <w:t xml:space="preserve">RST</w:t>
      </w:r>
      <w:r w:rsidRPr="00682E50">
        <w:rPr>
          <w:rFonts w:ascii="Aptos" w:hAnsi="Aptos"/>
        </w:rPr>
        <w:tab/>
      </w:r>
      <w:r w:rsidRPr="00682E50">
        <w:rPr>
          <w:rFonts w:ascii="Aptos" w:hAnsi="Aptos"/>
        </w:rPr>
        <w:tab/>
      </w:r>
      <w:r w:rsidRPr="00682E50">
        <w:rPr>
          <w:rFonts w:ascii="Aptos" w:hAnsi="Aptos" w:eastAsia="Aptos" w:cs="Aptos"/>
          <w:lang w:val="en-GB"/>
        </w:rPr>
        <w:t xml:space="preserve">Revisión del comercio significativo de la CITES</w:t>
      </w:r>
    </w:p>
    <w:p w:rsidRPr="00682E50" w:rsidR="00682E50" w:rsidP="00682E50" w:rsidRDefault="00682E50" w14:paraId="3175454F" w14:textId="77777777">
      <w:pPr>
        <w:spacing w:line="240" w:lineRule="auto"/>
        <w:rPr>
          <w:rFonts w:ascii="Aptos" w:hAnsi="Aptos" w:eastAsia="Aptos" w:cs="Aptos"/>
        </w:rPr>
      </w:pPr>
      <w:r w:rsidRPr="00682E50">
        <w:rPr>
          <w:rFonts w:ascii="Aptos" w:hAnsi="Aptos" w:eastAsia="Aptos" w:cs="Aptos"/>
        </w:rPr>
        <w:t xml:space="preserve">SC</w:t>
      </w:r>
      <w:r w:rsidRPr="00682E50">
        <w:rPr>
          <w:rFonts w:ascii="Aptos" w:hAnsi="Aptos"/>
        </w:rPr>
        <w:tab/>
      </w:r>
      <w:r w:rsidRPr="00682E50">
        <w:rPr>
          <w:rFonts w:ascii="Aptos" w:hAnsi="Aptos"/>
        </w:rPr>
        <w:tab/>
      </w:r>
      <w:r w:rsidRPr="00682E50">
        <w:rPr>
          <w:rFonts w:ascii="Aptos" w:hAnsi="Aptos" w:eastAsia="Aptos" w:cs="Aptos"/>
        </w:rPr>
        <w:t xml:space="preserve">Comité Permanente de la CITES</w:t>
      </w:r>
    </w:p>
    <w:p w:rsidRPr="00682E50" w:rsidR="00682E50" w:rsidP="00682E50" w:rsidRDefault="00682E50" w14:paraId="7AF0C1D6" w14:textId="77777777">
      <w:pPr>
        <w:spacing w:line="240" w:lineRule="auto"/>
        <w:rPr>
          <w:rFonts w:ascii="Aptos" w:hAnsi="Aptos" w:eastAsia="Aptos" w:cs="Aptos"/>
        </w:rPr>
      </w:pPr>
      <w:r w:rsidRPr="00682E50">
        <w:rPr>
          <w:rFonts w:ascii="Aptos" w:hAnsi="Aptos" w:eastAsia="Aptos" w:cs="Aptos"/>
        </w:rPr>
        <w:t xml:space="preserve">SC77</w:t>
      </w:r>
      <w:r w:rsidRPr="00682E50">
        <w:rPr>
          <w:rFonts w:ascii="Aptos" w:hAnsi="Aptos"/>
        </w:rPr>
        <w:tab/>
      </w:r>
      <w:r w:rsidRPr="00682E50">
        <w:rPr>
          <w:rFonts w:ascii="Aptos" w:hAnsi="Aptos"/>
        </w:rPr>
        <w:tab/>
      </w:r>
      <w:r w:rsidRPr="00682E50">
        <w:rPr>
          <w:rFonts w:ascii="Aptos" w:hAnsi="Aptos" w:eastAsia="Aptos" w:cs="Aptos"/>
        </w:rPr>
        <w:t xml:space="preserve">77</w:t>
      </w:r>
      <w:r w:rsidRPr="00682E50">
        <w:rPr>
          <w:rFonts w:ascii="Aptos" w:hAnsi="Aptos" w:eastAsia="Aptos" w:cs="Aptos"/>
          <w:vertAlign w:val="superscript"/>
        </w:rPr>
        <w:t xml:space="preserve">.ª</w:t>
      </w:r>
      <w:r w:rsidRPr="00682E50">
        <w:rPr>
          <w:rFonts w:ascii="Aptos" w:hAnsi="Aptos" w:eastAsia="Aptos" w:cs="Aptos"/>
        </w:rPr>
        <w:t xml:space="preserve">reunión del Comité Permanente de la CITES (noviembre de 2023)</w:t>
      </w:r>
    </w:p>
    <w:p w:rsidRPr="00682E50" w:rsidR="00682E50" w:rsidP="00682E50" w:rsidRDefault="00682E50" w14:paraId="01491C4B" w14:textId="77777777">
      <w:pPr>
        <w:spacing w:line="240" w:lineRule="auto"/>
        <w:rPr>
          <w:rFonts w:ascii="Aptos" w:hAnsi="Aptos"/>
        </w:rPr>
      </w:pPr>
      <w:r w:rsidRPr="00682E50">
        <w:rPr>
          <w:rFonts w:ascii="Aptos" w:hAnsi="Aptos" w:eastAsia="Aptos" w:cs="Aptos"/>
          <w:lang w:val="en-US"/>
        </w:rPr>
        <w:t xml:space="preserve">SC78</w:t>
      </w:r>
      <w:r w:rsidRPr="00682E50">
        <w:rPr>
          <w:rFonts w:ascii="Aptos" w:hAnsi="Aptos"/>
        </w:rPr>
        <w:tab/>
      </w:r>
      <w:r w:rsidRPr="00682E50">
        <w:rPr>
          <w:rFonts w:ascii="Aptos" w:hAnsi="Aptos"/>
        </w:rPr>
        <w:tab/>
      </w:r>
      <w:r w:rsidRPr="00682E50">
        <w:rPr>
          <w:rFonts w:ascii="Aptos" w:hAnsi="Aptos" w:eastAsia="Aptos" w:cs="Aptos"/>
          <w:lang w:val="en-US"/>
        </w:rPr>
        <w:t xml:space="preserve">La 78</w:t>
      </w:r>
      <w:r w:rsidRPr="00682E50">
        <w:rPr>
          <w:rFonts w:ascii="Aptos" w:hAnsi="Aptos" w:eastAsia="Aptos" w:cs="Aptos"/>
          <w:vertAlign w:val="superscript"/>
          <w:lang w:val="en-US"/>
        </w:rPr>
        <w:t xml:space="preserve">.ª</w:t>
      </w:r>
      <w:r w:rsidRPr="00682E50">
        <w:rPr>
          <w:rFonts w:ascii="Aptos" w:hAnsi="Aptos" w:eastAsia="Aptos" w:cs="Aptos"/>
          <w:lang w:val="en-US"/>
        </w:rPr>
        <w:t xml:space="preserve">reunión del Comité Permanente de la CITES (</w:t>
      </w:r>
      <w:r w:rsidRPr="00682E50">
        <w:rPr>
          <w:rFonts w:ascii="Aptos" w:hAnsi="Aptos" w:eastAsia="Aptos" w:cs="Aptos"/>
        </w:rPr>
        <w:t xml:space="preserve">febrero </w:t>
      </w:r>
      <w:r w:rsidRPr="00682E50">
        <w:rPr>
          <w:rFonts w:ascii="Aptos" w:hAnsi="Aptos" w:eastAsia="Aptos" w:cs="Aptos"/>
        </w:rPr>
        <w:t xml:space="preserve">de 2025)</w:t>
      </w:r>
    </w:p>
    <w:p w:rsidRPr="00682E50" w:rsidR="00682E50" w:rsidP="00682E50" w:rsidRDefault="00682E50" w14:paraId="6CCF0BC9" w14:textId="77777777">
      <w:pPr>
        <w:spacing w:line="240" w:lineRule="auto"/>
        <w:rPr>
          <w:rFonts w:ascii="Aptos" w:hAnsi="Aptos"/>
        </w:rPr>
      </w:pPr>
      <w:r w:rsidRPr="00682E50">
        <w:rPr>
          <w:rFonts w:ascii="Aptos" w:hAnsi="Aptos" w:eastAsia="Aptos" w:cs="Aptos"/>
        </w:rPr>
        <w:t xml:space="preserve">SC81</w:t>
      </w:r>
      <w:r w:rsidRPr="00682E50">
        <w:rPr>
          <w:rFonts w:ascii="Aptos" w:hAnsi="Aptos"/>
        </w:rPr>
        <w:tab/>
      </w:r>
      <w:r w:rsidRPr="00682E50">
        <w:rPr>
          <w:rFonts w:ascii="Aptos" w:hAnsi="Aptos"/>
        </w:rPr>
        <w:tab/>
      </w:r>
      <w:r w:rsidRPr="00682E50">
        <w:rPr>
          <w:rFonts w:ascii="Aptos" w:hAnsi="Aptos" w:eastAsia="Aptos" w:cs="Aptos"/>
        </w:rPr>
        <w:t xml:space="preserve">La 81</w:t>
      </w:r>
      <w:r w:rsidRPr="00682E50">
        <w:rPr>
          <w:rFonts w:ascii="Aptos" w:hAnsi="Aptos" w:eastAsia="Aptos" w:cs="Aptos"/>
          <w:vertAlign w:val="superscript"/>
        </w:rPr>
        <w:t xml:space="preserve">.ª</w:t>
      </w:r>
      <w:r w:rsidRPr="00682E50">
        <w:rPr>
          <w:rFonts w:ascii="Aptos" w:hAnsi="Aptos" w:eastAsia="Aptos" w:cs="Aptos"/>
        </w:rPr>
        <w:t xml:space="preserve">reunión del Comité Permanente de la CITES (noviembre de 2026)</w:t>
      </w:r>
    </w:p>
    <w:p w:rsidRPr="00682E50" w:rsidR="00682E50" w:rsidP="00682E50" w:rsidRDefault="00682E50" w14:paraId="5E04141B" w14:textId="77777777">
      <w:pPr>
        <w:spacing w:line="240" w:lineRule="auto"/>
        <w:rPr>
          <w:rFonts w:ascii="Aptos" w:hAnsi="Aptos" w:eastAsia="Aptos" w:cs="Aptos"/>
        </w:rPr>
      </w:pPr>
      <w:r w:rsidRPr="00682E50">
        <w:rPr>
          <w:rFonts w:ascii="Aptos" w:hAnsi="Aptos" w:eastAsia="Aptos" w:cs="Aptos"/>
        </w:rPr>
        <w:t xml:space="preserve">ONU</w:t>
      </w:r>
      <w:r w:rsidRPr="00682E50">
        <w:rPr>
          <w:rFonts w:ascii="Aptos" w:hAnsi="Aptos"/>
        </w:rPr>
        <w:tab/>
      </w:r>
      <w:r w:rsidRPr="00682E50">
        <w:rPr>
          <w:rFonts w:ascii="Aptos" w:hAnsi="Aptos"/>
        </w:rPr>
        <w:tab/>
      </w:r>
      <w:r w:rsidRPr="00682E50">
        <w:rPr>
          <w:rFonts w:ascii="Aptos" w:hAnsi="Aptos" w:eastAsia="Aptos" w:cs="Aptos"/>
        </w:rPr>
        <w:t xml:space="preserve">Naciones Unidas</w:t>
      </w:r>
    </w:p>
    <w:p w:rsidRPr="00682E50" w:rsidR="00682E50" w:rsidP="00682E50" w:rsidRDefault="00682E50" w14:paraId="5D843F60" w14:textId="77777777">
      <w:pPr>
        <w:spacing w:line="240" w:lineRule="auto"/>
        <w:rPr>
          <w:rFonts w:ascii="Aptos" w:hAnsi="Aptos" w:eastAsia="Aptos" w:cs="Aptos"/>
          <w:lang w:val="en-SG"/>
        </w:rPr>
      </w:pPr>
      <w:r w:rsidRPr="00682E50">
        <w:rPr>
          <w:rFonts w:ascii="Aptos" w:hAnsi="Aptos" w:eastAsia="Aptos" w:cs="Aptos"/>
          <w:lang w:val="en-US"/>
        </w:rPr>
        <w:t xml:space="preserve">UNCAC</w:t>
      </w:r>
      <w:r w:rsidRPr="00682E50">
        <w:rPr>
          <w:rFonts w:ascii="Aptos" w:hAnsi="Aptos"/>
        </w:rPr>
        <w:tab/>
      </w:r>
      <w:r w:rsidRPr="00682E50">
        <w:rPr>
          <w:rFonts w:ascii="Aptos" w:hAnsi="Aptos" w:eastAsia="Aptos" w:cs="Aptos"/>
          <w:lang w:val="en-SG"/>
        </w:rPr>
        <w:t xml:space="preserve">Convención de las Naciones Unidas contra la Corrupción</w:t>
      </w:r>
    </w:p>
    <w:p w:rsidRPr="00682E50" w:rsidR="00682E50" w:rsidP="00682E50" w:rsidRDefault="00682E50" w14:paraId="35803179" w14:textId="77777777">
      <w:pPr>
        <w:spacing w:line="240" w:lineRule="auto"/>
        <w:rPr>
          <w:rFonts w:ascii="Aptos" w:hAnsi="Aptos" w:eastAsia="Aptos" w:cs="Aptos"/>
        </w:rPr>
      </w:pPr>
      <w:r w:rsidRPr="00682E50">
        <w:rPr>
          <w:rFonts w:ascii="Aptos" w:hAnsi="Aptos" w:eastAsia="Aptos" w:cs="Aptos"/>
          <w:lang w:val="en-US"/>
        </w:rPr>
        <w:t xml:space="preserve">CNUDM</w:t>
      </w:r>
      <w:r w:rsidRPr="00682E50">
        <w:rPr>
          <w:rFonts w:ascii="Aptos" w:hAnsi="Aptos"/>
        </w:rPr>
        <w:tab/>
      </w:r>
      <w:r w:rsidRPr="00682E50">
        <w:rPr>
          <w:rFonts w:ascii="Aptos" w:hAnsi="Aptos" w:eastAsia="Aptos" w:cs="Aptos"/>
          <w:lang w:val="en-US"/>
        </w:rPr>
        <w:t xml:space="preserve">Convención de las Naciones Unidas sobre el Derecho del Mar</w:t>
      </w:r>
    </w:p>
    <w:p w:rsidRPr="00682E50" w:rsidR="00682E50" w:rsidP="00682E50" w:rsidRDefault="00682E50" w14:paraId="11F6C281" w14:textId="77777777">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UNDRIP</w:t>
      </w:r>
      <w:r w:rsidRPr="00682E50">
        <w:rPr>
          <w:rFonts w:ascii="Aptos" w:hAnsi="Aptos"/>
        </w:rPr>
        <w:tab/>
      </w:r>
      <w:r w:rsidRPr="00682E50">
        <w:rPr>
          <w:rFonts w:ascii="Aptos" w:hAnsi="Aptos" w:eastAsia="Aptos" w:cs="Aptos"/>
          <w:lang w:val="en-US"/>
        </w:rPr>
        <w:t xml:space="preserve">Declaración de las Naciones Unidas sobre los Derechos de los Pueblos Indígenas</w:t>
      </w:r>
    </w:p>
    <w:p w:rsidRPr="00682E50" w:rsidR="00682E50" w:rsidP="00682E50" w:rsidRDefault="00682E50" w14:paraId="429096A5" w14:textId="77777777">
      <w:pPr>
        <w:spacing w:line="240" w:lineRule="auto"/>
        <w:rPr>
          <w:rFonts w:ascii="Aptos" w:hAnsi="Aptos" w:eastAsia="Aptos" w:cs="Aptos"/>
          <w:lang w:val="en-US"/>
        </w:rPr>
      </w:pPr>
      <w:r w:rsidRPr="00682E50">
        <w:rPr>
          <w:rFonts w:ascii="Aptos" w:hAnsi="Aptos" w:eastAsia="Aptos" w:cs="Aptos"/>
          <w:lang w:val="en-US"/>
        </w:rPr>
        <w:t xml:space="preserve">PNUMA</w:t>
      </w:r>
      <w:r w:rsidRPr="00682E50">
        <w:rPr>
          <w:rFonts w:ascii="Aptos" w:hAnsi="Aptos"/>
        </w:rPr>
        <w:tab/>
      </w:r>
      <w:r w:rsidRPr="00682E50">
        <w:rPr>
          <w:rFonts w:ascii="Aptos" w:hAnsi="Aptos"/>
        </w:rPr>
        <w:tab/>
      </w:r>
      <w:r w:rsidRPr="00682E50">
        <w:rPr>
          <w:rFonts w:ascii="Aptos" w:hAnsi="Aptos" w:eastAsia="Aptos" w:cs="Aptos"/>
          <w:lang w:val="en-US"/>
        </w:rPr>
        <w:t xml:space="preserve">Programa</w:t>
      </w:r>
      <w:r w:rsidRPr="00682E50">
        <w:rPr>
          <w:rFonts w:ascii="Aptos" w:hAnsi="Aptos" w:eastAsia="Aptos" w:cs="Aptos"/>
          <w:lang w:val="en-US"/>
        </w:rPr>
        <w:t xml:space="preserve"> de las Naciones Unidas para el Medio Ambiente</w:t>
      </w:r>
    </w:p>
    <w:p w:rsidRPr="00682E50" w:rsidR="00682E50" w:rsidP="00682E50" w:rsidRDefault="00682E50" w14:paraId="3FF0123B" w14:textId="77777777">
      <w:pPr>
        <w:spacing w:line="240" w:lineRule="auto"/>
        <w:rPr>
          <w:rFonts w:ascii="Aptos" w:hAnsi="Aptos" w:eastAsia="Aptos" w:cs="Aptos"/>
          <w:lang w:val="en-SG"/>
        </w:rPr>
      </w:pPr>
      <w:r w:rsidRPr="00682E50">
        <w:rPr>
          <w:rFonts w:ascii="Aptos" w:hAnsi="Aptos" w:eastAsia="Aptos" w:cs="Aptos"/>
          <w:lang w:val="en-US"/>
        </w:rPr>
        <w:t xml:space="preserve">ONUDD</w:t>
      </w:r>
      <w:r w:rsidRPr="00682E50">
        <w:rPr>
          <w:rFonts w:ascii="Aptos" w:hAnsi="Aptos"/>
        </w:rPr>
        <w:tab/>
      </w:r>
      <w:r w:rsidRPr="00682E50">
        <w:rPr>
          <w:rFonts w:ascii="Aptos" w:hAnsi="Aptos" w:eastAsia="Aptos" w:cs="Aptos"/>
          <w:lang w:val="en-SG"/>
        </w:rPr>
        <w:t xml:space="preserve">Oficina de las Naciones Unidas contra la Droga y el Delito </w:t>
      </w:r>
    </w:p>
    <w:p w:rsidRPr="00682E50" w:rsidR="00682E50" w:rsidP="00682E50" w:rsidRDefault="00682E50" w14:paraId="77F8368D" w14:textId="77777777">
      <w:pPr>
        <w:spacing w:line="240" w:lineRule="auto"/>
        <w:rPr>
          <w:rFonts w:ascii="Aptos" w:hAnsi="Aptos" w:eastAsia="Aptos" w:cs="Aptos"/>
          <w:lang w:val="en-SG"/>
        </w:rPr>
      </w:pPr>
      <w:r w:rsidRPr="00682E50">
        <w:rPr>
          <w:rFonts w:ascii="Aptos" w:hAnsi="Aptos" w:eastAsia="Aptos" w:cs="Aptos"/>
          <w:lang w:val="en-SG"/>
        </w:rPr>
        <w:t xml:space="preserve">UNTOC </w:t>
      </w:r>
      <w:r w:rsidRPr="00682E50">
        <w:rPr>
          <w:rFonts w:ascii="Aptos" w:hAnsi="Aptos"/>
        </w:rPr>
        <w:tab/>
      </w:r>
      <w:r w:rsidRPr="00682E50">
        <w:rPr>
          <w:rFonts w:ascii="Aptos" w:hAnsi="Aptos" w:eastAsia="Aptos" w:cs="Aptos"/>
          <w:lang w:val="en-SG"/>
        </w:rPr>
        <w:t xml:space="preserve">Convención de las Naciones Unidas contra la Delincuencia Organizada Transnacional </w:t>
      </w:r>
    </w:p>
    <w:p w:rsidRPr="00682E50" w:rsidR="00682E50" w:rsidP="00682E50" w:rsidRDefault="00682E50" w14:paraId="0851A641" w14:textId="77777777">
      <w:pPr>
        <w:spacing w:line="240" w:lineRule="auto"/>
        <w:rPr>
          <w:rFonts w:ascii="Aptos" w:hAnsi="Aptos" w:eastAsia="Aptos" w:cs="Aptos"/>
        </w:rPr>
      </w:pPr>
      <w:r w:rsidRPr="00682E50">
        <w:rPr>
          <w:rFonts w:ascii="Aptos" w:hAnsi="Aptos" w:eastAsia="Aptos" w:cs="Aptos"/>
        </w:rPr>
        <w:t xml:space="preserve">WG</w:t>
      </w:r>
      <w:r w:rsidRPr="00682E50">
        <w:rPr>
          <w:rFonts w:ascii="Aptos" w:hAnsi="Aptos"/>
        </w:rPr>
        <w:tab/>
      </w:r>
      <w:r w:rsidRPr="00682E50">
        <w:rPr>
          <w:rFonts w:ascii="Aptos" w:hAnsi="Aptos"/>
        </w:rPr>
        <w:tab/>
      </w:r>
      <w:r w:rsidRPr="00682E50">
        <w:rPr>
          <w:rFonts w:ascii="Aptos" w:hAnsi="Aptos" w:eastAsia="Aptos" w:cs="Aptos"/>
        </w:rPr>
        <w:t xml:space="preserve">Grupo de Trabajo</w:t>
      </w:r>
    </w:p>
    <w:p w:rsidRPr="00682E50" w:rsidR="00682E50" w:rsidP="00682E50" w:rsidRDefault="00682E50" w14:paraId="3F63B5CC" w14:textId="77777777">
      <w:pPr>
        <w:spacing w:line="240" w:lineRule="auto"/>
        <w:rPr>
          <w:rFonts w:ascii="Aptos" w:hAnsi="Aptos" w:eastAsia="Aptos" w:cs="Aptos"/>
        </w:rPr>
      </w:pPr>
      <w:r w:rsidRPr="00682E50">
        <w:rPr>
          <w:rFonts w:ascii="Aptos" w:hAnsi="Aptos" w:eastAsia="Aptos" w:cs="Aptos"/>
        </w:rPr>
        <w:t xml:space="preserve">OMS</w:t>
      </w:r>
      <w:r w:rsidRPr="00682E50">
        <w:rPr>
          <w:rFonts w:ascii="Aptos" w:hAnsi="Aptos"/>
        </w:rPr>
        <w:tab/>
      </w:r>
      <w:r w:rsidRPr="00682E50">
        <w:rPr>
          <w:rFonts w:ascii="Aptos" w:hAnsi="Aptos"/>
        </w:rPr>
        <w:tab/>
      </w:r>
      <w:r w:rsidRPr="00682E50">
        <w:rPr>
          <w:rFonts w:ascii="Aptos" w:hAnsi="Aptos" w:eastAsia="Aptos" w:cs="Aptos"/>
        </w:rPr>
        <w:t xml:space="preserve">Organización Mundial de la Salud</w:t>
      </w:r>
    </w:p>
    <w:p w:rsidRPr="00682E50" w:rsidR="007A4A91" w:rsidP="00682E50" w:rsidRDefault="00682E50" w14:paraId="244DC829" w14:textId="79514B1B">
      <w:pPr>
        <w:spacing w:line="240" w:lineRule="auto"/>
        <w:rPr>
          <w:rFonts w:ascii="Aptos" w:hAnsi="Aptos" w:eastAsia="Aptos" w:cs="Aptos"/>
          <w:lang w:val="en-US"/>
        </w:rPr>
      </w:pPr>
      <w:r w:rsidRPr="00682E50">
        <w:rPr>
          <w:rFonts w:ascii="Aptos" w:hAnsi="Aptos" w:eastAsia="Aptos" w:cs="Aptos"/>
          <w:lang w:val="en-US"/>
        </w:rPr>
        <w:t xml:space="preserve">OIE</w:t>
      </w:r>
      <w:r w:rsidRPr="00682E50">
        <w:rPr>
          <w:rFonts w:ascii="Aptos" w:hAnsi="Aptos"/>
        </w:rPr>
        <w:tab/>
      </w:r>
      <w:r w:rsidRPr="00682E50">
        <w:rPr>
          <w:rFonts w:ascii="Aptos" w:hAnsi="Aptos"/>
        </w:rPr>
        <w:tab/>
      </w:r>
      <w:r w:rsidRPr="00682E50">
        <w:rPr>
          <w:rFonts w:ascii="Aptos" w:hAnsi="Aptos" w:eastAsia="Aptos" w:cs="Aptos"/>
          <w:lang w:val="en-US"/>
        </w:rPr>
        <w:t xml:space="preserve">Organización</w:t>
      </w:r>
      <w:r w:rsidRPr="00682E50">
        <w:rPr>
          <w:rFonts w:ascii="Aptos" w:hAnsi="Aptos" w:eastAsia="Aptos" w:cs="Aptos"/>
          <w:lang w:val="en-US"/>
        </w:rPr>
        <w:t xml:space="preserve"> Mundial </w:t>
      </w:r>
      <w:r w:rsidRPr="00682E50">
        <w:rPr>
          <w:rFonts w:ascii="Aptos" w:hAnsi="Aptos" w:eastAsia="Aptos" w:cs="Aptos"/>
          <w:lang w:val="en-US"/>
        </w:rPr>
        <w:t xml:space="preserve">de Sanidad Animal</w:t>
      </w:r>
    </w:p>
    <w:sectPr w:rsidRPr="00682E50" w:rsidR="007A4A91">
      <w:headerReference w:type="default" r:id="rId63"/>
      <w:headerReference w:type="first" r:id="rId6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36C6F" w:rsidRDefault="00E36C6F" w14:paraId="43163517" w14:textId="77777777">
      <w:pPr>
        <w:spacing w:line="240" w:lineRule="auto"/>
      </w:pPr>
      <w:r>
        <w:separator/>
      </w:r>
    </w:p>
  </w:endnote>
  <w:endnote w:type="continuationSeparator" w:id="0">
    <w:p w:rsidR="00E36C6F" w:rsidRDefault="00E36C6F" w14:paraId="7A2E6DE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DA0ACB9-B08B-9447-AF68-E8CC829EEF34}"/>
    <w:embedBold r:id="rId2" w:fontKey="{B1FCBDCB-6A47-0D49-925B-DA99E90CF786}"/>
    <w:embedItalic r:id="rId3" w:fontKey="{2C166B35-3C64-5E47-882A-557F2108B33C}"/>
    <w:embedBoldItalic r:id="rId4" w:fontKey="{53D109B2-1BC1-464C-BA56-1F73551A2A1D}"/>
  </w:font>
  <w:font w:name="Times New Roman">
    <w:panose1 w:val="02020603050405020304"/>
    <w:charset w:val="00"/>
    <w:family w:val="roman"/>
    <w:pitch w:val="variable"/>
    <w:sig w:usb0="E0002EFF" w:usb1="C000785B" w:usb2="00000009" w:usb3="00000000" w:csb0="000001FF" w:csb1="00000000"/>
    <w:embedRegular r:id="rId5" w:fontKey="{AD052009-6FDB-EE41-9367-5D98768E06F3}"/>
    <w:embedBold r:id="rId6" w:fontKey="{1AA2308A-84DC-7F47-B6EB-8927F477E2F9}"/>
  </w:font>
  <w:font w:name="Courier New">
    <w:panose1 w:val="02070309020205020404"/>
    <w:charset w:val="00"/>
    <w:family w:val="modern"/>
    <w:pitch w:val="fixed"/>
    <w:sig w:usb0="E0002AFF" w:usb1="C0007843" w:usb2="00000009" w:usb3="00000000" w:csb0="000001FF" w:csb1="00000000"/>
    <w:embedRegular r:id="rId7" w:fontKey="{8AA9DF0D-98D8-534D-8232-9F87775F4A30}"/>
  </w:font>
  <w:font w:name="Wingdings">
    <w:panose1 w:val="05000000000000000000"/>
    <w:charset w:val="4D"/>
    <w:family w:val="decorative"/>
    <w:pitch w:val="variable"/>
    <w:sig w:usb0="00000003" w:usb1="00000000" w:usb2="00000000" w:usb3="00000000" w:csb0="80000001" w:csb1="00000000"/>
    <w:embedRegular r:id="rId8" w:fontKey="{666812BF-1C3B-1C4C-8157-0ECF89E7715B}"/>
  </w:font>
  <w:font w:name="Symbol">
    <w:panose1 w:val="05050102010706020507"/>
    <w:charset w:val="02"/>
    <w:family w:val="decorative"/>
    <w:pitch w:val="variable"/>
    <w:sig w:usb0="00000000" w:usb1="10000000" w:usb2="00000000" w:usb3="00000000" w:csb0="80000000" w:csb1="00000000"/>
    <w:embedRegular r:id="rId9" w:fontKey="{105832B6-83DC-754C-A1A2-7C9FE76678C2}"/>
  </w:font>
  <w:font w:name="Verdana">
    <w:panose1 w:val="020B0604030504040204"/>
    <w:charset w:val="00"/>
    <w:family w:val="swiss"/>
    <w:pitch w:val="variable"/>
    <w:sig w:usb0="A10006FF" w:usb1="4000205B" w:usb2="00000010" w:usb3="00000000" w:csb0="0000019F" w:csb1="00000000"/>
    <w:embedRegular r:id="rId10" w:fontKey="{4E2623AA-ED9D-C24A-8864-FC54CC4E4FEE}"/>
  </w:font>
  <w:font w:name="Arial">
    <w:panose1 w:val="020B0604020202020204"/>
    <w:charset w:val="00"/>
    <w:family w:val="swiss"/>
    <w:pitch w:val="variable"/>
    <w:sig w:usb0="E0002AFF" w:usb1="C0007843" w:usb2="00000009" w:usb3="00000000" w:csb0="000001FF" w:csb1="00000000"/>
    <w:embedRegular r:id="rId11" w:fontKey="{15ECAF29-22E6-E644-A35A-B912B20C8F3A}"/>
    <w:embedBold r:id="rId12" w:fontKey="{92B86FCE-459A-5343-93C4-3A5D6AB0511F}"/>
    <w:embedItalic r:id="rId13" w:fontKey="{67626268-D1A8-864D-9B1B-8195A2C1B4EC}"/>
    <w:embedBoldItalic r:id="rId14" w:fontKey="{1A1A387A-2BAC-C341-ADC7-D12F762E7106}"/>
  </w:font>
  <w:font w:name="Twentieth Century">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8" w:fontKey="{2A4667C5-A5E0-404D-87F2-5762D936588B}"/>
    <w:embedBold r:id="rId19" w:fontKey="{424BA87F-608E-8746-9C62-B85AC17ACCB9}"/>
    <w:embedBoldItalic r:id="rId20" w:fontKey="{0302064C-32EE-1F40-8C2C-0D53C55C8969}"/>
  </w:font>
  <w:font w:name="Calibri">
    <w:panose1 w:val="020F0502020204030204"/>
    <w:charset w:val="00"/>
    <w:family w:val="swiss"/>
    <w:pitch w:val="variable"/>
    <w:sig w:usb0="E4002EFF" w:usb1="C200247B" w:usb2="00000009" w:usb3="00000000" w:csb0="000001FF" w:csb1="00000000"/>
    <w:embedRegular r:id="rId21" w:fontKey="{DE10E483-B26F-B743-AD30-D85FE81EEAAA}"/>
    <w:embedBold r:id="rId22" w:fontKey="{372993A2-ED5B-3143-BD78-D085A376C757}"/>
  </w:font>
  <w:font w:name="Aptos ExtraBold">
    <w:panose1 w:val="020B0004020202020204"/>
    <w:charset w:val="00"/>
    <w:family w:val="swiss"/>
    <w:pitch w:val="variable"/>
    <w:sig w:usb0="20000287" w:usb1="00000003" w:usb2="00000000" w:usb3="00000000" w:csb0="0000019F" w:csb1="00000000"/>
    <w:embedBold r:id="rId23" w:fontKey="{D0F3E9F9-D252-0448-BFCB-29F0B08B1BD3}"/>
  </w:font>
  <w:font w:name="Cambria Math">
    <w:panose1 w:val="02040503050406030204"/>
    <w:charset w:val="00"/>
    <w:family w:val="roman"/>
    <w:pitch w:val="variable"/>
    <w:sig w:usb0="E00002FF" w:usb1="420024FF" w:usb2="00000000" w:usb3="00000000" w:csb0="0000019F" w:csb1="00000000"/>
    <w:embedRegular r:id="rId24" w:fontKey="{1BC6F104-3959-8B45-8A10-5555021CC3E9}"/>
  </w:font>
  <w:font w:name="Aptos Light">
    <w:panose1 w:val="020B0004020202020204"/>
    <w:charset w:val="00"/>
    <w:family w:val="swiss"/>
    <w:pitch w:val="variable"/>
    <w:sig w:usb0="20000287" w:usb1="00000003" w:usb2="00000000" w:usb3="00000000" w:csb0="0000019F" w:csb1="00000000"/>
    <w:embedRegular r:id="rId25" w:fontKey="{0D53358A-E852-7844-A3EB-13D69972D9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36C6F" w:rsidRDefault="00E36C6F" w14:paraId="2975C8F6" w14:textId="77777777">
      <w:pPr>
        <w:spacing w:line="240" w:lineRule="auto"/>
      </w:pPr>
      <w:r>
        <w:separator/>
      </w:r>
    </w:p>
  </w:footnote>
  <w:footnote w:type="continuationSeparator" w:id="0">
    <w:p w:rsidR="00E36C6F" w:rsidRDefault="00E36C6F" w14:paraId="16DACCA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82E50" w:rsidR="007A4A91" w:rsidP="00682E50" w:rsidRDefault="00682E50" w14:paraId="74CB31E5" w14:textId="763A3B05">
    <w:pPr>
      <w:rPr>
        <w:rFonts w:ascii="Aptos Light" w:hAnsi="Aptos Light" w:eastAsia="Twentieth Century" w:cs="Twentieth Century"/>
        <w:color w:val="E06666"/>
        <w:sz w:val="16"/>
        <w:szCs w:val="14"/>
        <w:shd w:val="clear" w:color="auto" w:fill="FFF2CC"/>
      </w:rPr>
    </w:pPr>
    <w:r w:rsidRPr="00682E50">
      <w:rPr>
        <w:rFonts w:ascii="Aptos Light" w:hAnsi="Aptos Light" w:eastAsia="Twentieth Century" w:cs="Twentieth Century"/>
        <w:color w:val="F9CB9C"/>
        <w:sz w:val="16"/>
        <w:szCs w:val="14"/>
      </w:rPr>
      <w:t xml:space="preserve">Actualizado: 10 de octubre de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A4A91" w:rsidRDefault="00000000" w14:paraId="44067D19" w14:textId="1956C9F0">
    <w:pPr>
      <w:rPr>
        <w:rFonts w:ascii="Aptos Light" w:hAnsi="Aptos Light" w:eastAsia="Twentieth Century" w:cs="Twentieth Century"/>
        <w:color w:val="F9CB9C"/>
        <w:sz w:val="16"/>
        <w:szCs w:val="14"/>
      </w:rPr>
    </w:pPr>
    <w:r w:rsidRPr="00682E50">
      <w:rPr>
        <w:rFonts w:ascii="Aptos Light" w:hAnsi="Aptos Light" w:eastAsia="Twentieth Century" w:cs="Twentieth Century"/>
        <w:color w:val="F9CB9C"/>
        <w:sz w:val="16"/>
        <w:szCs w:val="14"/>
      </w:rPr>
      <w:t xml:space="preserve">Actualizado:</w:t>
    </w:r>
    <w:r w:rsidRPr="00682E50" w:rsidR="00606ACB">
      <w:rPr>
        <w:rFonts w:ascii="Aptos Light" w:hAnsi="Aptos Light" w:eastAsia="Twentieth Century" w:cs="Twentieth Century"/>
        <w:color w:val="F9CB9C"/>
        <w:sz w:val="16"/>
        <w:szCs w:val="14"/>
      </w:rPr>
      <w:t xml:space="preserve"> 10 </w:t>
    </w:r>
    <w:r w:rsidRPr="00682E50">
      <w:rPr>
        <w:rFonts w:ascii="Aptos Light" w:hAnsi="Aptos Light" w:eastAsia="Twentieth Century" w:cs="Twentieth Century"/>
        <w:color w:val="F9CB9C"/>
        <w:sz w:val="16"/>
        <w:szCs w:val="14"/>
      </w:rPr>
      <w:t xml:space="preserve">de octubre de 2026</w:t>
    </w:r>
  </w:p>
  <w:p w:rsidRPr="00C515BB" w:rsidR="00C515BB" w:rsidRDefault="00C515BB" w14:paraId="26B0EB67" w14:textId="46623E31">
    <w:pPr>
      <w:rPr>
        <w:rFonts w:ascii="Aptos Light" w:hAnsi="Aptos Light" w:eastAsia="Twentieth Century" w:cs="Twentieth Century"/>
        <w:color w:val="C00000"/>
        <w:sz w:val="16"/>
        <w:szCs w:val="14"/>
        <w:shd w:val="clear" w:color="auto" w:fill="FFF2CC"/>
      </w:rPr>
    </w:pPr>
    <w:r w:rsidRPr="00C515BB">
      <w:rPr>
        <w:rFonts w:ascii="Aptos Light" w:hAnsi="Aptos Light" w:eastAsia="Twentieth Century" w:cs="Twentieth Century"/>
        <w:color w:val="C00000"/>
        <w:sz w:val="16"/>
        <w:szCs w:val="14"/>
      </w:rPr>
      <w:t xml:space="preserve">Esta es una traducción automática.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BA83B"/>
    <w:multiLevelType w:val="hybridMultilevel"/>
    <w:tmpl w:val="4B9282A0"/>
    <w:lvl w:ilvl="0" w:tplc="BDEC8C70">
      <w:start w:val="1"/>
      <w:numFmt w:val="bullet"/>
      <w:lvlText w:val="-"/>
      <w:lvlJc w:val="left"/>
      <w:pPr>
        <w:ind w:left="720" w:hanging="360"/>
      </w:pPr>
      <w:rPr>
        <w:rFonts w:ascii="Aptos" w:hAnsi="Aptos" w:hint="default"/>
      </w:rPr>
    </w:lvl>
    <w:lvl w:ilvl="1" w:tplc="4CA83970">
      <w:start w:val="1"/>
      <w:numFmt w:val="bullet"/>
      <w:lvlText w:val="o"/>
      <w:lvlJc w:val="left"/>
      <w:pPr>
        <w:ind w:left="1440" w:hanging="360"/>
      </w:pPr>
      <w:rPr>
        <w:rFonts w:ascii="Courier New" w:hAnsi="Courier New" w:hint="default"/>
      </w:rPr>
    </w:lvl>
    <w:lvl w:ilvl="2" w:tplc="FA52C8A6">
      <w:start w:val="1"/>
      <w:numFmt w:val="bullet"/>
      <w:lvlText w:val=""/>
      <w:lvlJc w:val="left"/>
      <w:pPr>
        <w:ind w:left="2160" w:hanging="360"/>
      </w:pPr>
      <w:rPr>
        <w:rFonts w:ascii="Wingdings" w:hAnsi="Wingdings" w:hint="default"/>
      </w:rPr>
    </w:lvl>
    <w:lvl w:ilvl="3" w:tplc="2A3CAC2A">
      <w:start w:val="1"/>
      <w:numFmt w:val="bullet"/>
      <w:lvlText w:val=""/>
      <w:lvlJc w:val="left"/>
      <w:pPr>
        <w:ind w:left="2880" w:hanging="360"/>
      </w:pPr>
      <w:rPr>
        <w:rFonts w:ascii="Symbol" w:hAnsi="Symbol" w:hint="default"/>
      </w:rPr>
    </w:lvl>
    <w:lvl w:ilvl="4" w:tplc="336C2680">
      <w:start w:val="1"/>
      <w:numFmt w:val="bullet"/>
      <w:lvlText w:val="o"/>
      <w:lvlJc w:val="left"/>
      <w:pPr>
        <w:ind w:left="3600" w:hanging="360"/>
      </w:pPr>
      <w:rPr>
        <w:rFonts w:ascii="Courier New" w:hAnsi="Courier New" w:hint="default"/>
      </w:rPr>
    </w:lvl>
    <w:lvl w:ilvl="5" w:tplc="65C010BE">
      <w:start w:val="1"/>
      <w:numFmt w:val="bullet"/>
      <w:lvlText w:val=""/>
      <w:lvlJc w:val="left"/>
      <w:pPr>
        <w:ind w:left="4320" w:hanging="360"/>
      </w:pPr>
      <w:rPr>
        <w:rFonts w:ascii="Wingdings" w:hAnsi="Wingdings" w:hint="default"/>
      </w:rPr>
    </w:lvl>
    <w:lvl w:ilvl="6" w:tplc="942CED3C">
      <w:start w:val="1"/>
      <w:numFmt w:val="bullet"/>
      <w:lvlText w:val=""/>
      <w:lvlJc w:val="left"/>
      <w:pPr>
        <w:ind w:left="5040" w:hanging="360"/>
      </w:pPr>
      <w:rPr>
        <w:rFonts w:ascii="Symbol" w:hAnsi="Symbol" w:hint="default"/>
      </w:rPr>
    </w:lvl>
    <w:lvl w:ilvl="7" w:tplc="BE8216D2">
      <w:start w:val="1"/>
      <w:numFmt w:val="bullet"/>
      <w:lvlText w:val="o"/>
      <w:lvlJc w:val="left"/>
      <w:pPr>
        <w:ind w:left="5760" w:hanging="360"/>
      </w:pPr>
      <w:rPr>
        <w:rFonts w:ascii="Courier New" w:hAnsi="Courier New" w:hint="default"/>
      </w:rPr>
    </w:lvl>
    <w:lvl w:ilvl="8" w:tplc="D5E64EF8">
      <w:start w:val="1"/>
      <w:numFmt w:val="bullet"/>
      <w:lvlText w:val=""/>
      <w:lvlJc w:val="left"/>
      <w:pPr>
        <w:ind w:left="6480" w:hanging="360"/>
      </w:pPr>
      <w:rPr>
        <w:rFonts w:ascii="Wingdings" w:hAnsi="Wingdings" w:hint="default"/>
      </w:rPr>
    </w:lvl>
  </w:abstractNum>
  <w:abstractNum w:abstractNumId="1" w15:restartNumberingAfterBreak="0">
    <w:nsid w:val="0DCA39C3"/>
    <w:multiLevelType w:val="hybridMultilevel"/>
    <w:tmpl w:val="6C1A98FA"/>
    <w:lvl w:ilvl="0" w:tplc="242C1A06">
      <w:start w:val="1"/>
      <w:numFmt w:val="bullet"/>
      <w:lvlText w:val="o"/>
      <w:lvlJc w:val="left"/>
      <w:pPr>
        <w:ind w:left="720" w:hanging="360"/>
      </w:pPr>
      <w:rPr>
        <w:rFonts w:ascii="Courier New" w:hAnsi="Courier New" w:hint="default"/>
      </w:rPr>
    </w:lvl>
    <w:lvl w:ilvl="1" w:tplc="E078E8F4">
      <w:start w:val="1"/>
      <w:numFmt w:val="bullet"/>
      <w:lvlText w:val="o"/>
      <w:lvlJc w:val="left"/>
      <w:pPr>
        <w:ind w:left="1440" w:hanging="360"/>
      </w:pPr>
      <w:rPr>
        <w:rFonts w:ascii="Courier New" w:hAnsi="Courier New" w:hint="default"/>
      </w:rPr>
    </w:lvl>
    <w:lvl w:ilvl="2" w:tplc="72CA2FF6">
      <w:start w:val="1"/>
      <w:numFmt w:val="bullet"/>
      <w:lvlText w:val=""/>
      <w:lvlJc w:val="left"/>
      <w:pPr>
        <w:ind w:left="2160" w:hanging="360"/>
      </w:pPr>
      <w:rPr>
        <w:rFonts w:ascii="Wingdings" w:hAnsi="Wingdings" w:hint="default"/>
      </w:rPr>
    </w:lvl>
    <w:lvl w:ilvl="3" w:tplc="53DC9C3E">
      <w:start w:val="1"/>
      <w:numFmt w:val="bullet"/>
      <w:lvlText w:val=""/>
      <w:lvlJc w:val="left"/>
      <w:pPr>
        <w:ind w:left="2880" w:hanging="360"/>
      </w:pPr>
      <w:rPr>
        <w:rFonts w:ascii="Symbol" w:hAnsi="Symbol" w:hint="default"/>
      </w:rPr>
    </w:lvl>
    <w:lvl w:ilvl="4" w:tplc="6E0E8F6A">
      <w:start w:val="1"/>
      <w:numFmt w:val="bullet"/>
      <w:lvlText w:val="o"/>
      <w:lvlJc w:val="left"/>
      <w:pPr>
        <w:ind w:left="3600" w:hanging="360"/>
      </w:pPr>
      <w:rPr>
        <w:rFonts w:ascii="Courier New" w:hAnsi="Courier New" w:hint="default"/>
      </w:rPr>
    </w:lvl>
    <w:lvl w:ilvl="5" w:tplc="73BA4368">
      <w:start w:val="1"/>
      <w:numFmt w:val="bullet"/>
      <w:lvlText w:val=""/>
      <w:lvlJc w:val="left"/>
      <w:pPr>
        <w:ind w:left="4320" w:hanging="360"/>
      </w:pPr>
      <w:rPr>
        <w:rFonts w:ascii="Wingdings" w:hAnsi="Wingdings" w:hint="default"/>
      </w:rPr>
    </w:lvl>
    <w:lvl w:ilvl="6" w:tplc="3CC0FCF8">
      <w:start w:val="1"/>
      <w:numFmt w:val="bullet"/>
      <w:lvlText w:val=""/>
      <w:lvlJc w:val="left"/>
      <w:pPr>
        <w:ind w:left="5040" w:hanging="360"/>
      </w:pPr>
      <w:rPr>
        <w:rFonts w:ascii="Symbol" w:hAnsi="Symbol" w:hint="default"/>
      </w:rPr>
    </w:lvl>
    <w:lvl w:ilvl="7" w:tplc="742ADFD0">
      <w:start w:val="1"/>
      <w:numFmt w:val="bullet"/>
      <w:lvlText w:val="o"/>
      <w:lvlJc w:val="left"/>
      <w:pPr>
        <w:ind w:left="5760" w:hanging="360"/>
      </w:pPr>
      <w:rPr>
        <w:rFonts w:ascii="Courier New" w:hAnsi="Courier New" w:hint="default"/>
      </w:rPr>
    </w:lvl>
    <w:lvl w:ilvl="8" w:tplc="AD9242AC">
      <w:start w:val="1"/>
      <w:numFmt w:val="bullet"/>
      <w:lvlText w:val=""/>
      <w:lvlJc w:val="left"/>
      <w:pPr>
        <w:ind w:left="6480" w:hanging="360"/>
      </w:pPr>
      <w:rPr>
        <w:rFonts w:ascii="Wingdings" w:hAnsi="Wingdings" w:hint="default"/>
      </w:rPr>
    </w:lvl>
  </w:abstractNum>
  <w:abstractNum w:abstractNumId="2" w15:restartNumberingAfterBreak="0">
    <w:nsid w:val="0ECDB757"/>
    <w:multiLevelType w:val="hybridMultilevel"/>
    <w:tmpl w:val="FFFFFFFF"/>
    <w:lvl w:ilvl="0" w:tplc="2FF42626">
      <w:start w:val="1"/>
      <w:numFmt w:val="bullet"/>
      <w:lvlText w:val=""/>
      <w:lvlJc w:val="left"/>
      <w:pPr>
        <w:ind w:left="720" w:hanging="360"/>
      </w:pPr>
      <w:rPr>
        <w:rFonts w:ascii="Symbol" w:hAnsi="Symbol" w:hint="default"/>
      </w:rPr>
    </w:lvl>
    <w:lvl w:ilvl="1" w:tplc="EE7822EA">
      <w:start w:val="1"/>
      <w:numFmt w:val="bullet"/>
      <w:lvlText w:val="o"/>
      <w:lvlJc w:val="left"/>
      <w:pPr>
        <w:ind w:left="1440" w:hanging="360"/>
      </w:pPr>
      <w:rPr>
        <w:rFonts w:ascii="Courier New" w:hAnsi="Courier New" w:hint="default"/>
      </w:rPr>
    </w:lvl>
    <w:lvl w:ilvl="2" w:tplc="DB6666AA">
      <w:start w:val="1"/>
      <w:numFmt w:val="bullet"/>
      <w:lvlText w:val=""/>
      <w:lvlJc w:val="left"/>
      <w:pPr>
        <w:ind w:left="2160" w:hanging="360"/>
      </w:pPr>
      <w:rPr>
        <w:rFonts w:ascii="Wingdings" w:hAnsi="Wingdings" w:hint="default"/>
      </w:rPr>
    </w:lvl>
    <w:lvl w:ilvl="3" w:tplc="F5243142">
      <w:start w:val="1"/>
      <w:numFmt w:val="bullet"/>
      <w:lvlText w:val=""/>
      <w:lvlJc w:val="left"/>
      <w:pPr>
        <w:ind w:left="2880" w:hanging="360"/>
      </w:pPr>
      <w:rPr>
        <w:rFonts w:ascii="Symbol" w:hAnsi="Symbol" w:hint="default"/>
      </w:rPr>
    </w:lvl>
    <w:lvl w:ilvl="4" w:tplc="165E5C0C">
      <w:start w:val="1"/>
      <w:numFmt w:val="bullet"/>
      <w:lvlText w:val="o"/>
      <w:lvlJc w:val="left"/>
      <w:pPr>
        <w:ind w:left="3600" w:hanging="360"/>
      </w:pPr>
      <w:rPr>
        <w:rFonts w:ascii="Courier New" w:hAnsi="Courier New" w:hint="default"/>
      </w:rPr>
    </w:lvl>
    <w:lvl w:ilvl="5" w:tplc="A8FA09A0">
      <w:start w:val="1"/>
      <w:numFmt w:val="bullet"/>
      <w:lvlText w:val=""/>
      <w:lvlJc w:val="left"/>
      <w:pPr>
        <w:ind w:left="4320" w:hanging="360"/>
      </w:pPr>
      <w:rPr>
        <w:rFonts w:ascii="Wingdings" w:hAnsi="Wingdings" w:hint="default"/>
      </w:rPr>
    </w:lvl>
    <w:lvl w:ilvl="6" w:tplc="AEF21F1C">
      <w:start w:val="1"/>
      <w:numFmt w:val="bullet"/>
      <w:lvlText w:val=""/>
      <w:lvlJc w:val="left"/>
      <w:pPr>
        <w:ind w:left="5040" w:hanging="360"/>
      </w:pPr>
      <w:rPr>
        <w:rFonts w:ascii="Symbol" w:hAnsi="Symbol" w:hint="default"/>
      </w:rPr>
    </w:lvl>
    <w:lvl w:ilvl="7" w:tplc="F4F03EC8">
      <w:start w:val="1"/>
      <w:numFmt w:val="bullet"/>
      <w:lvlText w:val="o"/>
      <w:lvlJc w:val="left"/>
      <w:pPr>
        <w:ind w:left="5760" w:hanging="360"/>
      </w:pPr>
      <w:rPr>
        <w:rFonts w:ascii="Courier New" w:hAnsi="Courier New" w:hint="default"/>
      </w:rPr>
    </w:lvl>
    <w:lvl w:ilvl="8" w:tplc="00B22C0C">
      <w:start w:val="1"/>
      <w:numFmt w:val="bullet"/>
      <w:lvlText w:val=""/>
      <w:lvlJc w:val="left"/>
      <w:pPr>
        <w:ind w:left="6480" w:hanging="360"/>
      </w:pPr>
      <w:rPr>
        <w:rFonts w:ascii="Wingdings" w:hAnsi="Wingdings" w:hint="default"/>
      </w:rPr>
    </w:lvl>
  </w:abstractNum>
  <w:abstractNum w:abstractNumId="3" w15:restartNumberingAfterBreak="0">
    <w:nsid w:val="19E38B63"/>
    <w:multiLevelType w:val="hybridMultilevel"/>
    <w:tmpl w:val="FFFFFFFF"/>
    <w:lvl w:ilvl="0" w:tplc="8EDE6CA8">
      <w:start w:val="1"/>
      <w:numFmt w:val="bullet"/>
      <w:lvlText w:val=""/>
      <w:lvlJc w:val="left"/>
      <w:pPr>
        <w:ind w:left="720" w:hanging="360"/>
      </w:pPr>
      <w:rPr>
        <w:rFonts w:ascii="Symbol" w:hAnsi="Symbol" w:hint="default"/>
      </w:rPr>
    </w:lvl>
    <w:lvl w:ilvl="1" w:tplc="FC70D9CC">
      <w:start w:val="1"/>
      <w:numFmt w:val="bullet"/>
      <w:lvlText w:val="o"/>
      <w:lvlJc w:val="left"/>
      <w:pPr>
        <w:ind w:left="1440" w:hanging="360"/>
      </w:pPr>
      <w:rPr>
        <w:rFonts w:ascii="Courier New" w:hAnsi="Courier New" w:hint="default"/>
      </w:rPr>
    </w:lvl>
    <w:lvl w:ilvl="2" w:tplc="121401F8">
      <w:start w:val="1"/>
      <w:numFmt w:val="bullet"/>
      <w:lvlText w:val=""/>
      <w:lvlJc w:val="left"/>
      <w:pPr>
        <w:ind w:left="2160" w:hanging="360"/>
      </w:pPr>
      <w:rPr>
        <w:rFonts w:ascii="Wingdings" w:hAnsi="Wingdings" w:hint="default"/>
      </w:rPr>
    </w:lvl>
    <w:lvl w:ilvl="3" w:tplc="062631A6">
      <w:start w:val="1"/>
      <w:numFmt w:val="bullet"/>
      <w:lvlText w:val=""/>
      <w:lvlJc w:val="left"/>
      <w:pPr>
        <w:ind w:left="2880" w:hanging="360"/>
      </w:pPr>
      <w:rPr>
        <w:rFonts w:ascii="Symbol" w:hAnsi="Symbol" w:hint="default"/>
      </w:rPr>
    </w:lvl>
    <w:lvl w:ilvl="4" w:tplc="1E70108E">
      <w:start w:val="1"/>
      <w:numFmt w:val="bullet"/>
      <w:lvlText w:val="o"/>
      <w:lvlJc w:val="left"/>
      <w:pPr>
        <w:ind w:left="3600" w:hanging="360"/>
      </w:pPr>
      <w:rPr>
        <w:rFonts w:ascii="Courier New" w:hAnsi="Courier New" w:hint="default"/>
      </w:rPr>
    </w:lvl>
    <w:lvl w:ilvl="5" w:tplc="55C4B6F6">
      <w:start w:val="1"/>
      <w:numFmt w:val="bullet"/>
      <w:lvlText w:val=""/>
      <w:lvlJc w:val="left"/>
      <w:pPr>
        <w:ind w:left="4320" w:hanging="360"/>
      </w:pPr>
      <w:rPr>
        <w:rFonts w:ascii="Wingdings" w:hAnsi="Wingdings" w:hint="default"/>
      </w:rPr>
    </w:lvl>
    <w:lvl w:ilvl="6" w:tplc="6E3424C8">
      <w:start w:val="1"/>
      <w:numFmt w:val="bullet"/>
      <w:lvlText w:val=""/>
      <w:lvlJc w:val="left"/>
      <w:pPr>
        <w:ind w:left="5040" w:hanging="360"/>
      </w:pPr>
      <w:rPr>
        <w:rFonts w:ascii="Symbol" w:hAnsi="Symbol" w:hint="default"/>
      </w:rPr>
    </w:lvl>
    <w:lvl w:ilvl="7" w:tplc="568A4762">
      <w:start w:val="1"/>
      <w:numFmt w:val="bullet"/>
      <w:lvlText w:val="o"/>
      <w:lvlJc w:val="left"/>
      <w:pPr>
        <w:ind w:left="5760" w:hanging="360"/>
      </w:pPr>
      <w:rPr>
        <w:rFonts w:ascii="Courier New" w:hAnsi="Courier New" w:hint="default"/>
      </w:rPr>
    </w:lvl>
    <w:lvl w:ilvl="8" w:tplc="01CA1652">
      <w:start w:val="1"/>
      <w:numFmt w:val="bullet"/>
      <w:lvlText w:val=""/>
      <w:lvlJc w:val="left"/>
      <w:pPr>
        <w:ind w:left="6480" w:hanging="360"/>
      </w:pPr>
      <w:rPr>
        <w:rFonts w:ascii="Wingdings" w:hAnsi="Wingdings" w:hint="default"/>
      </w:rPr>
    </w:lvl>
  </w:abstractNum>
  <w:abstractNum w:abstractNumId="4" w15:restartNumberingAfterBreak="0">
    <w:nsid w:val="1FCA94BD"/>
    <w:multiLevelType w:val="hybridMultilevel"/>
    <w:tmpl w:val="88D27FCA"/>
    <w:lvl w:ilvl="0" w:tplc="08BC62F0">
      <w:start w:val="1"/>
      <w:numFmt w:val="bullet"/>
      <w:lvlText w:val="·"/>
      <w:lvlJc w:val="left"/>
      <w:pPr>
        <w:ind w:left="720" w:hanging="360"/>
      </w:pPr>
      <w:rPr>
        <w:rFonts w:ascii="Symbol" w:hAnsi="Symbol" w:hint="default"/>
      </w:rPr>
    </w:lvl>
    <w:lvl w:ilvl="1" w:tplc="F91C47F8">
      <w:start w:val="1"/>
      <w:numFmt w:val="bullet"/>
      <w:lvlText w:val="o"/>
      <w:lvlJc w:val="left"/>
      <w:pPr>
        <w:ind w:left="1440" w:hanging="360"/>
      </w:pPr>
      <w:rPr>
        <w:rFonts w:ascii="Courier New" w:hAnsi="Courier New" w:hint="default"/>
      </w:rPr>
    </w:lvl>
    <w:lvl w:ilvl="2" w:tplc="4B1272AA">
      <w:start w:val="1"/>
      <w:numFmt w:val="bullet"/>
      <w:lvlText w:val=""/>
      <w:lvlJc w:val="left"/>
      <w:pPr>
        <w:ind w:left="2160" w:hanging="360"/>
      </w:pPr>
      <w:rPr>
        <w:rFonts w:ascii="Wingdings" w:hAnsi="Wingdings" w:hint="default"/>
      </w:rPr>
    </w:lvl>
    <w:lvl w:ilvl="3" w:tplc="828469F4">
      <w:start w:val="1"/>
      <w:numFmt w:val="bullet"/>
      <w:lvlText w:val=""/>
      <w:lvlJc w:val="left"/>
      <w:pPr>
        <w:ind w:left="2880" w:hanging="360"/>
      </w:pPr>
      <w:rPr>
        <w:rFonts w:ascii="Symbol" w:hAnsi="Symbol" w:hint="default"/>
      </w:rPr>
    </w:lvl>
    <w:lvl w:ilvl="4" w:tplc="5002F690">
      <w:start w:val="1"/>
      <w:numFmt w:val="bullet"/>
      <w:lvlText w:val="o"/>
      <w:lvlJc w:val="left"/>
      <w:pPr>
        <w:ind w:left="3600" w:hanging="360"/>
      </w:pPr>
      <w:rPr>
        <w:rFonts w:ascii="Courier New" w:hAnsi="Courier New" w:hint="default"/>
      </w:rPr>
    </w:lvl>
    <w:lvl w:ilvl="5" w:tplc="BDA6FEA6">
      <w:start w:val="1"/>
      <w:numFmt w:val="bullet"/>
      <w:lvlText w:val=""/>
      <w:lvlJc w:val="left"/>
      <w:pPr>
        <w:ind w:left="4320" w:hanging="360"/>
      </w:pPr>
      <w:rPr>
        <w:rFonts w:ascii="Wingdings" w:hAnsi="Wingdings" w:hint="default"/>
      </w:rPr>
    </w:lvl>
    <w:lvl w:ilvl="6" w:tplc="F42266DE">
      <w:start w:val="1"/>
      <w:numFmt w:val="bullet"/>
      <w:lvlText w:val=""/>
      <w:lvlJc w:val="left"/>
      <w:pPr>
        <w:ind w:left="5040" w:hanging="360"/>
      </w:pPr>
      <w:rPr>
        <w:rFonts w:ascii="Symbol" w:hAnsi="Symbol" w:hint="default"/>
      </w:rPr>
    </w:lvl>
    <w:lvl w:ilvl="7" w:tplc="ED8CACE0">
      <w:start w:val="1"/>
      <w:numFmt w:val="bullet"/>
      <w:lvlText w:val="o"/>
      <w:lvlJc w:val="left"/>
      <w:pPr>
        <w:ind w:left="5760" w:hanging="360"/>
      </w:pPr>
      <w:rPr>
        <w:rFonts w:ascii="Courier New" w:hAnsi="Courier New" w:hint="default"/>
      </w:rPr>
    </w:lvl>
    <w:lvl w:ilvl="8" w:tplc="9790F3AC">
      <w:start w:val="1"/>
      <w:numFmt w:val="bullet"/>
      <w:lvlText w:val=""/>
      <w:lvlJc w:val="left"/>
      <w:pPr>
        <w:ind w:left="6480" w:hanging="360"/>
      </w:pPr>
      <w:rPr>
        <w:rFonts w:ascii="Wingdings" w:hAnsi="Wingdings" w:hint="default"/>
      </w:rPr>
    </w:lvl>
  </w:abstractNum>
  <w:abstractNum w:abstractNumId="5" w15:restartNumberingAfterBreak="0">
    <w:nsid w:val="281A7B4A"/>
    <w:multiLevelType w:val="hybridMultilevel"/>
    <w:tmpl w:val="FFFFFFFF"/>
    <w:lvl w:ilvl="0" w:tplc="C374BE68">
      <w:start w:val="1"/>
      <w:numFmt w:val="bullet"/>
      <w:lvlText w:val="-"/>
      <w:lvlJc w:val="left"/>
      <w:pPr>
        <w:ind w:left="720" w:hanging="360"/>
      </w:pPr>
      <w:rPr>
        <w:rFonts w:ascii="Aptos" w:hAnsi="Aptos" w:hint="default"/>
      </w:rPr>
    </w:lvl>
    <w:lvl w:ilvl="1" w:tplc="2CEEEA4C">
      <w:start w:val="1"/>
      <w:numFmt w:val="bullet"/>
      <w:lvlText w:val="o"/>
      <w:lvlJc w:val="left"/>
      <w:pPr>
        <w:ind w:left="1440" w:hanging="360"/>
      </w:pPr>
      <w:rPr>
        <w:rFonts w:ascii="Courier New" w:hAnsi="Courier New" w:hint="default"/>
      </w:rPr>
    </w:lvl>
    <w:lvl w:ilvl="2" w:tplc="26226EDC">
      <w:start w:val="1"/>
      <w:numFmt w:val="bullet"/>
      <w:lvlText w:val=""/>
      <w:lvlJc w:val="left"/>
      <w:pPr>
        <w:ind w:left="2160" w:hanging="360"/>
      </w:pPr>
      <w:rPr>
        <w:rFonts w:ascii="Wingdings" w:hAnsi="Wingdings" w:hint="default"/>
      </w:rPr>
    </w:lvl>
    <w:lvl w:ilvl="3" w:tplc="5016AADE">
      <w:start w:val="1"/>
      <w:numFmt w:val="bullet"/>
      <w:lvlText w:val=""/>
      <w:lvlJc w:val="left"/>
      <w:pPr>
        <w:ind w:left="2880" w:hanging="360"/>
      </w:pPr>
      <w:rPr>
        <w:rFonts w:ascii="Symbol" w:hAnsi="Symbol" w:hint="default"/>
      </w:rPr>
    </w:lvl>
    <w:lvl w:ilvl="4" w:tplc="B4F47994">
      <w:start w:val="1"/>
      <w:numFmt w:val="bullet"/>
      <w:lvlText w:val="o"/>
      <w:lvlJc w:val="left"/>
      <w:pPr>
        <w:ind w:left="3600" w:hanging="360"/>
      </w:pPr>
      <w:rPr>
        <w:rFonts w:ascii="Courier New" w:hAnsi="Courier New" w:hint="default"/>
      </w:rPr>
    </w:lvl>
    <w:lvl w:ilvl="5" w:tplc="8318973C">
      <w:start w:val="1"/>
      <w:numFmt w:val="bullet"/>
      <w:lvlText w:val=""/>
      <w:lvlJc w:val="left"/>
      <w:pPr>
        <w:ind w:left="4320" w:hanging="360"/>
      </w:pPr>
      <w:rPr>
        <w:rFonts w:ascii="Wingdings" w:hAnsi="Wingdings" w:hint="default"/>
      </w:rPr>
    </w:lvl>
    <w:lvl w:ilvl="6" w:tplc="64F0A82E">
      <w:start w:val="1"/>
      <w:numFmt w:val="bullet"/>
      <w:lvlText w:val=""/>
      <w:lvlJc w:val="left"/>
      <w:pPr>
        <w:ind w:left="5040" w:hanging="360"/>
      </w:pPr>
      <w:rPr>
        <w:rFonts w:ascii="Symbol" w:hAnsi="Symbol" w:hint="default"/>
      </w:rPr>
    </w:lvl>
    <w:lvl w:ilvl="7" w:tplc="5A8C2480">
      <w:start w:val="1"/>
      <w:numFmt w:val="bullet"/>
      <w:lvlText w:val="o"/>
      <w:lvlJc w:val="left"/>
      <w:pPr>
        <w:ind w:left="5760" w:hanging="360"/>
      </w:pPr>
      <w:rPr>
        <w:rFonts w:ascii="Courier New" w:hAnsi="Courier New" w:hint="default"/>
      </w:rPr>
    </w:lvl>
    <w:lvl w:ilvl="8" w:tplc="C64C0D38">
      <w:start w:val="1"/>
      <w:numFmt w:val="bullet"/>
      <w:lvlText w:val=""/>
      <w:lvlJc w:val="left"/>
      <w:pPr>
        <w:ind w:left="6480" w:hanging="360"/>
      </w:pPr>
      <w:rPr>
        <w:rFonts w:ascii="Wingdings" w:hAnsi="Wingdings" w:hint="default"/>
      </w:rPr>
    </w:lvl>
  </w:abstractNum>
  <w:abstractNum w:abstractNumId="6" w15:restartNumberingAfterBreak="0">
    <w:nsid w:val="2A4E3337"/>
    <w:multiLevelType w:val="hybridMultilevel"/>
    <w:tmpl w:val="FFFFFFFF"/>
    <w:lvl w:ilvl="0" w:tplc="9C38AEB2">
      <w:start w:val="1"/>
      <w:numFmt w:val="bullet"/>
      <w:lvlText w:val="·"/>
      <w:lvlJc w:val="left"/>
      <w:pPr>
        <w:ind w:left="1080" w:hanging="360"/>
      </w:pPr>
      <w:rPr>
        <w:rFonts w:ascii="Symbol" w:hAnsi="Symbol" w:hint="default"/>
      </w:rPr>
    </w:lvl>
    <w:lvl w:ilvl="1" w:tplc="7BBE9430">
      <w:start w:val="1"/>
      <w:numFmt w:val="bullet"/>
      <w:lvlText w:val="o"/>
      <w:lvlJc w:val="left"/>
      <w:pPr>
        <w:ind w:left="1800" w:hanging="360"/>
      </w:pPr>
      <w:rPr>
        <w:rFonts w:ascii="Courier New" w:hAnsi="Courier New" w:hint="default"/>
      </w:rPr>
    </w:lvl>
    <w:lvl w:ilvl="2" w:tplc="95F0A146">
      <w:start w:val="1"/>
      <w:numFmt w:val="bullet"/>
      <w:lvlText w:val=""/>
      <w:lvlJc w:val="left"/>
      <w:pPr>
        <w:ind w:left="2520" w:hanging="360"/>
      </w:pPr>
      <w:rPr>
        <w:rFonts w:ascii="Wingdings" w:hAnsi="Wingdings" w:hint="default"/>
      </w:rPr>
    </w:lvl>
    <w:lvl w:ilvl="3" w:tplc="6D32AB4E">
      <w:start w:val="1"/>
      <w:numFmt w:val="bullet"/>
      <w:lvlText w:val=""/>
      <w:lvlJc w:val="left"/>
      <w:pPr>
        <w:ind w:left="3240" w:hanging="360"/>
      </w:pPr>
      <w:rPr>
        <w:rFonts w:ascii="Symbol" w:hAnsi="Symbol" w:hint="default"/>
      </w:rPr>
    </w:lvl>
    <w:lvl w:ilvl="4" w:tplc="66C4E5DE">
      <w:start w:val="1"/>
      <w:numFmt w:val="bullet"/>
      <w:lvlText w:val="o"/>
      <w:lvlJc w:val="left"/>
      <w:pPr>
        <w:ind w:left="3960" w:hanging="360"/>
      </w:pPr>
      <w:rPr>
        <w:rFonts w:ascii="Courier New" w:hAnsi="Courier New" w:hint="default"/>
      </w:rPr>
    </w:lvl>
    <w:lvl w:ilvl="5" w:tplc="21F4E814">
      <w:start w:val="1"/>
      <w:numFmt w:val="bullet"/>
      <w:lvlText w:val=""/>
      <w:lvlJc w:val="left"/>
      <w:pPr>
        <w:ind w:left="4680" w:hanging="360"/>
      </w:pPr>
      <w:rPr>
        <w:rFonts w:ascii="Wingdings" w:hAnsi="Wingdings" w:hint="default"/>
      </w:rPr>
    </w:lvl>
    <w:lvl w:ilvl="6" w:tplc="D29E6E02">
      <w:start w:val="1"/>
      <w:numFmt w:val="bullet"/>
      <w:lvlText w:val=""/>
      <w:lvlJc w:val="left"/>
      <w:pPr>
        <w:ind w:left="5400" w:hanging="360"/>
      </w:pPr>
      <w:rPr>
        <w:rFonts w:ascii="Symbol" w:hAnsi="Symbol" w:hint="default"/>
      </w:rPr>
    </w:lvl>
    <w:lvl w:ilvl="7" w:tplc="9D540F08">
      <w:start w:val="1"/>
      <w:numFmt w:val="bullet"/>
      <w:lvlText w:val="o"/>
      <w:lvlJc w:val="left"/>
      <w:pPr>
        <w:ind w:left="6120" w:hanging="360"/>
      </w:pPr>
      <w:rPr>
        <w:rFonts w:ascii="Courier New" w:hAnsi="Courier New" w:hint="default"/>
      </w:rPr>
    </w:lvl>
    <w:lvl w:ilvl="8" w:tplc="09BE1A0E">
      <w:start w:val="1"/>
      <w:numFmt w:val="bullet"/>
      <w:lvlText w:val=""/>
      <w:lvlJc w:val="left"/>
      <w:pPr>
        <w:ind w:left="6840" w:hanging="360"/>
      </w:pPr>
      <w:rPr>
        <w:rFonts w:ascii="Wingdings" w:hAnsi="Wingdings" w:hint="default"/>
      </w:rPr>
    </w:lvl>
  </w:abstractNum>
  <w:abstractNum w:abstractNumId="7" w15:restartNumberingAfterBreak="0">
    <w:nsid w:val="2E8E3B69"/>
    <w:multiLevelType w:val="hybridMultilevel"/>
    <w:tmpl w:val="F7AC236E"/>
    <w:lvl w:ilvl="0" w:tplc="9A56574A">
      <w:start w:val="1"/>
      <w:numFmt w:val="bullet"/>
      <w:lvlText w:val="·"/>
      <w:lvlJc w:val="left"/>
      <w:pPr>
        <w:ind w:left="720" w:hanging="360"/>
      </w:pPr>
      <w:rPr>
        <w:rFonts w:ascii="Symbol" w:hAnsi="Symbol" w:hint="default"/>
      </w:rPr>
    </w:lvl>
    <w:lvl w:ilvl="1" w:tplc="4BDCAD82">
      <w:start w:val="1"/>
      <w:numFmt w:val="bullet"/>
      <w:lvlText w:val="o"/>
      <w:lvlJc w:val="left"/>
      <w:pPr>
        <w:ind w:left="1440" w:hanging="360"/>
      </w:pPr>
      <w:rPr>
        <w:rFonts w:ascii="Courier New" w:hAnsi="Courier New" w:hint="default"/>
      </w:rPr>
    </w:lvl>
    <w:lvl w:ilvl="2" w:tplc="D9F63B68">
      <w:start w:val="1"/>
      <w:numFmt w:val="bullet"/>
      <w:lvlText w:val=""/>
      <w:lvlJc w:val="left"/>
      <w:pPr>
        <w:ind w:left="2160" w:hanging="360"/>
      </w:pPr>
      <w:rPr>
        <w:rFonts w:ascii="Wingdings" w:hAnsi="Wingdings" w:hint="default"/>
      </w:rPr>
    </w:lvl>
    <w:lvl w:ilvl="3" w:tplc="5BA09276">
      <w:start w:val="1"/>
      <w:numFmt w:val="bullet"/>
      <w:lvlText w:val=""/>
      <w:lvlJc w:val="left"/>
      <w:pPr>
        <w:ind w:left="2880" w:hanging="360"/>
      </w:pPr>
      <w:rPr>
        <w:rFonts w:ascii="Symbol" w:hAnsi="Symbol" w:hint="default"/>
      </w:rPr>
    </w:lvl>
    <w:lvl w:ilvl="4" w:tplc="1C8A59C6">
      <w:start w:val="1"/>
      <w:numFmt w:val="bullet"/>
      <w:lvlText w:val="o"/>
      <w:lvlJc w:val="left"/>
      <w:pPr>
        <w:ind w:left="3600" w:hanging="360"/>
      </w:pPr>
      <w:rPr>
        <w:rFonts w:ascii="Courier New" w:hAnsi="Courier New" w:hint="default"/>
      </w:rPr>
    </w:lvl>
    <w:lvl w:ilvl="5" w:tplc="5BB0E7B8">
      <w:start w:val="1"/>
      <w:numFmt w:val="bullet"/>
      <w:lvlText w:val=""/>
      <w:lvlJc w:val="left"/>
      <w:pPr>
        <w:ind w:left="4320" w:hanging="360"/>
      </w:pPr>
      <w:rPr>
        <w:rFonts w:ascii="Wingdings" w:hAnsi="Wingdings" w:hint="default"/>
      </w:rPr>
    </w:lvl>
    <w:lvl w:ilvl="6" w:tplc="39A4C0AC">
      <w:start w:val="1"/>
      <w:numFmt w:val="bullet"/>
      <w:lvlText w:val=""/>
      <w:lvlJc w:val="left"/>
      <w:pPr>
        <w:ind w:left="5040" w:hanging="360"/>
      </w:pPr>
      <w:rPr>
        <w:rFonts w:ascii="Symbol" w:hAnsi="Symbol" w:hint="default"/>
      </w:rPr>
    </w:lvl>
    <w:lvl w:ilvl="7" w:tplc="0338EE28">
      <w:start w:val="1"/>
      <w:numFmt w:val="bullet"/>
      <w:lvlText w:val="o"/>
      <w:lvlJc w:val="left"/>
      <w:pPr>
        <w:ind w:left="5760" w:hanging="360"/>
      </w:pPr>
      <w:rPr>
        <w:rFonts w:ascii="Courier New" w:hAnsi="Courier New" w:hint="default"/>
      </w:rPr>
    </w:lvl>
    <w:lvl w:ilvl="8" w:tplc="15EA0DB2">
      <w:start w:val="1"/>
      <w:numFmt w:val="bullet"/>
      <w:lvlText w:val=""/>
      <w:lvlJc w:val="left"/>
      <w:pPr>
        <w:ind w:left="6480" w:hanging="360"/>
      </w:pPr>
      <w:rPr>
        <w:rFonts w:ascii="Wingdings" w:hAnsi="Wingdings" w:hint="default"/>
      </w:rPr>
    </w:lvl>
  </w:abstractNum>
  <w:abstractNum w:abstractNumId="8" w15:restartNumberingAfterBreak="0">
    <w:nsid w:val="38DFD254"/>
    <w:multiLevelType w:val="hybridMultilevel"/>
    <w:tmpl w:val="ADAC1B78"/>
    <w:lvl w:ilvl="0" w:tplc="4258984A">
      <w:start w:val="1"/>
      <w:numFmt w:val="bullet"/>
      <w:lvlText w:val=""/>
      <w:lvlJc w:val="left"/>
      <w:pPr>
        <w:ind w:left="720" w:hanging="360"/>
      </w:pPr>
      <w:rPr>
        <w:rFonts w:ascii="Symbol" w:hAnsi="Symbol" w:hint="default"/>
      </w:rPr>
    </w:lvl>
    <w:lvl w:ilvl="1" w:tplc="FC9EBED8">
      <w:start w:val="1"/>
      <w:numFmt w:val="bullet"/>
      <w:lvlText w:val="o"/>
      <w:lvlJc w:val="left"/>
      <w:pPr>
        <w:ind w:left="1440" w:hanging="360"/>
      </w:pPr>
      <w:rPr>
        <w:rFonts w:ascii="Courier New" w:hAnsi="Courier New" w:hint="default"/>
      </w:rPr>
    </w:lvl>
    <w:lvl w:ilvl="2" w:tplc="F3AE054A">
      <w:start w:val="1"/>
      <w:numFmt w:val="bullet"/>
      <w:lvlText w:val=""/>
      <w:lvlJc w:val="left"/>
      <w:pPr>
        <w:ind w:left="2160" w:hanging="360"/>
      </w:pPr>
      <w:rPr>
        <w:rFonts w:ascii="Wingdings" w:hAnsi="Wingdings" w:hint="default"/>
      </w:rPr>
    </w:lvl>
    <w:lvl w:ilvl="3" w:tplc="468CFEA8">
      <w:start w:val="1"/>
      <w:numFmt w:val="bullet"/>
      <w:lvlText w:val=""/>
      <w:lvlJc w:val="left"/>
      <w:pPr>
        <w:ind w:left="2880" w:hanging="360"/>
      </w:pPr>
      <w:rPr>
        <w:rFonts w:ascii="Symbol" w:hAnsi="Symbol" w:hint="default"/>
      </w:rPr>
    </w:lvl>
    <w:lvl w:ilvl="4" w:tplc="FCEEF0F8">
      <w:start w:val="1"/>
      <w:numFmt w:val="bullet"/>
      <w:lvlText w:val="o"/>
      <w:lvlJc w:val="left"/>
      <w:pPr>
        <w:ind w:left="3600" w:hanging="360"/>
      </w:pPr>
      <w:rPr>
        <w:rFonts w:ascii="Courier New" w:hAnsi="Courier New" w:hint="default"/>
      </w:rPr>
    </w:lvl>
    <w:lvl w:ilvl="5" w:tplc="DBA4B85C">
      <w:start w:val="1"/>
      <w:numFmt w:val="bullet"/>
      <w:lvlText w:val=""/>
      <w:lvlJc w:val="left"/>
      <w:pPr>
        <w:ind w:left="4320" w:hanging="360"/>
      </w:pPr>
      <w:rPr>
        <w:rFonts w:ascii="Wingdings" w:hAnsi="Wingdings" w:hint="default"/>
      </w:rPr>
    </w:lvl>
    <w:lvl w:ilvl="6" w:tplc="4C6EAB8C">
      <w:start w:val="1"/>
      <w:numFmt w:val="bullet"/>
      <w:lvlText w:val=""/>
      <w:lvlJc w:val="left"/>
      <w:pPr>
        <w:ind w:left="5040" w:hanging="360"/>
      </w:pPr>
      <w:rPr>
        <w:rFonts w:ascii="Symbol" w:hAnsi="Symbol" w:hint="default"/>
      </w:rPr>
    </w:lvl>
    <w:lvl w:ilvl="7" w:tplc="86E2FB26">
      <w:start w:val="1"/>
      <w:numFmt w:val="bullet"/>
      <w:lvlText w:val="o"/>
      <w:lvlJc w:val="left"/>
      <w:pPr>
        <w:ind w:left="5760" w:hanging="360"/>
      </w:pPr>
      <w:rPr>
        <w:rFonts w:ascii="Courier New" w:hAnsi="Courier New" w:hint="default"/>
      </w:rPr>
    </w:lvl>
    <w:lvl w:ilvl="8" w:tplc="7D4C481C">
      <w:start w:val="1"/>
      <w:numFmt w:val="bullet"/>
      <w:lvlText w:val=""/>
      <w:lvlJc w:val="left"/>
      <w:pPr>
        <w:ind w:left="6480" w:hanging="360"/>
      </w:pPr>
      <w:rPr>
        <w:rFonts w:ascii="Wingdings" w:hAnsi="Wingdings" w:hint="default"/>
      </w:rPr>
    </w:lvl>
  </w:abstractNum>
  <w:abstractNum w:abstractNumId="9" w15:restartNumberingAfterBreak="0">
    <w:nsid w:val="3974F4C4"/>
    <w:multiLevelType w:val="hybridMultilevel"/>
    <w:tmpl w:val="56E60BF4"/>
    <w:lvl w:ilvl="0" w:tplc="D0E4451E">
      <w:start w:val="1"/>
      <w:numFmt w:val="bullet"/>
      <w:lvlText w:val=""/>
      <w:lvlJc w:val="left"/>
      <w:pPr>
        <w:ind w:left="720" w:hanging="360"/>
      </w:pPr>
      <w:rPr>
        <w:rFonts w:ascii="Symbol" w:hAnsi="Symbol" w:hint="default"/>
      </w:rPr>
    </w:lvl>
    <w:lvl w:ilvl="1" w:tplc="E0BE7D42">
      <w:start w:val="1"/>
      <w:numFmt w:val="bullet"/>
      <w:lvlText w:val="o"/>
      <w:lvlJc w:val="left"/>
      <w:pPr>
        <w:ind w:left="1440" w:hanging="360"/>
      </w:pPr>
      <w:rPr>
        <w:rFonts w:ascii="Courier New" w:hAnsi="Courier New" w:hint="default"/>
      </w:rPr>
    </w:lvl>
    <w:lvl w:ilvl="2" w:tplc="F0A6A98A">
      <w:start w:val="1"/>
      <w:numFmt w:val="bullet"/>
      <w:lvlText w:val=""/>
      <w:lvlJc w:val="left"/>
      <w:pPr>
        <w:ind w:left="2160" w:hanging="360"/>
      </w:pPr>
      <w:rPr>
        <w:rFonts w:ascii="Wingdings" w:hAnsi="Wingdings" w:hint="default"/>
      </w:rPr>
    </w:lvl>
    <w:lvl w:ilvl="3" w:tplc="ACD85134">
      <w:start w:val="1"/>
      <w:numFmt w:val="bullet"/>
      <w:lvlText w:val=""/>
      <w:lvlJc w:val="left"/>
      <w:pPr>
        <w:ind w:left="2880" w:hanging="360"/>
      </w:pPr>
      <w:rPr>
        <w:rFonts w:ascii="Symbol" w:hAnsi="Symbol" w:hint="default"/>
      </w:rPr>
    </w:lvl>
    <w:lvl w:ilvl="4" w:tplc="91F02888">
      <w:start w:val="1"/>
      <w:numFmt w:val="bullet"/>
      <w:lvlText w:val="o"/>
      <w:lvlJc w:val="left"/>
      <w:pPr>
        <w:ind w:left="3600" w:hanging="360"/>
      </w:pPr>
      <w:rPr>
        <w:rFonts w:ascii="Courier New" w:hAnsi="Courier New" w:hint="default"/>
      </w:rPr>
    </w:lvl>
    <w:lvl w:ilvl="5" w:tplc="6FEC3A22">
      <w:start w:val="1"/>
      <w:numFmt w:val="bullet"/>
      <w:lvlText w:val=""/>
      <w:lvlJc w:val="left"/>
      <w:pPr>
        <w:ind w:left="4320" w:hanging="360"/>
      </w:pPr>
      <w:rPr>
        <w:rFonts w:ascii="Wingdings" w:hAnsi="Wingdings" w:hint="default"/>
      </w:rPr>
    </w:lvl>
    <w:lvl w:ilvl="6" w:tplc="78F02EC4">
      <w:start w:val="1"/>
      <w:numFmt w:val="bullet"/>
      <w:lvlText w:val=""/>
      <w:lvlJc w:val="left"/>
      <w:pPr>
        <w:ind w:left="5040" w:hanging="360"/>
      </w:pPr>
      <w:rPr>
        <w:rFonts w:ascii="Symbol" w:hAnsi="Symbol" w:hint="default"/>
      </w:rPr>
    </w:lvl>
    <w:lvl w:ilvl="7" w:tplc="95C64810">
      <w:start w:val="1"/>
      <w:numFmt w:val="bullet"/>
      <w:lvlText w:val="o"/>
      <w:lvlJc w:val="left"/>
      <w:pPr>
        <w:ind w:left="5760" w:hanging="360"/>
      </w:pPr>
      <w:rPr>
        <w:rFonts w:ascii="Courier New" w:hAnsi="Courier New" w:hint="default"/>
      </w:rPr>
    </w:lvl>
    <w:lvl w:ilvl="8" w:tplc="F3AC91BE">
      <w:start w:val="1"/>
      <w:numFmt w:val="bullet"/>
      <w:lvlText w:val=""/>
      <w:lvlJc w:val="left"/>
      <w:pPr>
        <w:ind w:left="6480" w:hanging="360"/>
      </w:pPr>
      <w:rPr>
        <w:rFonts w:ascii="Wingdings" w:hAnsi="Wingdings" w:hint="default"/>
      </w:rPr>
    </w:lvl>
  </w:abstractNum>
  <w:abstractNum w:abstractNumId="10" w15:restartNumberingAfterBreak="0">
    <w:nsid w:val="3D47D05B"/>
    <w:multiLevelType w:val="hybridMultilevel"/>
    <w:tmpl w:val="FFFFFFFF"/>
    <w:lvl w:ilvl="0" w:tplc="F3C0D16C">
      <w:start w:val="1"/>
      <w:numFmt w:val="bullet"/>
      <w:lvlText w:val="·"/>
      <w:lvlJc w:val="left"/>
      <w:pPr>
        <w:ind w:left="720" w:hanging="360"/>
      </w:pPr>
      <w:rPr>
        <w:rFonts w:ascii="Symbol" w:hAnsi="Symbol" w:hint="default"/>
      </w:rPr>
    </w:lvl>
    <w:lvl w:ilvl="1" w:tplc="BEC043DC">
      <w:start w:val="1"/>
      <w:numFmt w:val="bullet"/>
      <w:lvlText w:val="o"/>
      <w:lvlJc w:val="left"/>
      <w:pPr>
        <w:ind w:left="1440" w:hanging="360"/>
      </w:pPr>
      <w:rPr>
        <w:rFonts w:ascii="Courier New" w:hAnsi="Courier New" w:hint="default"/>
      </w:rPr>
    </w:lvl>
    <w:lvl w:ilvl="2" w:tplc="D10AF69C">
      <w:start w:val="1"/>
      <w:numFmt w:val="bullet"/>
      <w:lvlText w:val=""/>
      <w:lvlJc w:val="left"/>
      <w:pPr>
        <w:ind w:left="2160" w:hanging="360"/>
      </w:pPr>
      <w:rPr>
        <w:rFonts w:ascii="Wingdings" w:hAnsi="Wingdings" w:hint="default"/>
      </w:rPr>
    </w:lvl>
    <w:lvl w:ilvl="3" w:tplc="44AE1C5A">
      <w:start w:val="1"/>
      <w:numFmt w:val="bullet"/>
      <w:lvlText w:val=""/>
      <w:lvlJc w:val="left"/>
      <w:pPr>
        <w:ind w:left="2880" w:hanging="360"/>
      </w:pPr>
      <w:rPr>
        <w:rFonts w:ascii="Symbol" w:hAnsi="Symbol" w:hint="default"/>
      </w:rPr>
    </w:lvl>
    <w:lvl w:ilvl="4" w:tplc="00263354">
      <w:start w:val="1"/>
      <w:numFmt w:val="bullet"/>
      <w:lvlText w:val="o"/>
      <w:lvlJc w:val="left"/>
      <w:pPr>
        <w:ind w:left="3600" w:hanging="360"/>
      </w:pPr>
      <w:rPr>
        <w:rFonts w:ascii="Courier New" w:hAnsi="Courier New" w:hint="default"/>
      </w:rPr>
    </w:lvl>
    <w:lvl w:ilvl="5" w:tplc="8E78038C">
      <w:start w:val="1"/>
      <w:numFmt w:val="bullet"/>
      <w:lvlText w:val=""/>
      <w:lvlJc w:val="left"/>
      <w:pPr>
        <w:ind w:left="4320" w:hanging="360"/>
      </w:pPr>
      <w:rPr>
        <w:rFonts w:ascii="Wingdings" w:hAnsi="Wingdings" w:hint="default"/>
      </w:rPr>
    </w:lvl>
    <w:lvl w:ilvl="6" w:tplc="5CD4C7EC">
      <w:start w:val="1"/>
      <w:numFmt w:val="bullet"/>
      <w:lvlText w:val=""/>
      <w:lvlJc w:val="left"/>
      <w:pPr>
        <w:ind w:left="5040" w:hanging="360"/>
      </w:pPr>
      <w:rPr>
        <w:rFonts w:ascii="Symbol" w:hAnsi="Symbol" w:hint="default"/>
      </w:rPr>
    </w:lvl>
    <w:lvl w:ilvl="7" w:tplc="42B2F1BA">
      <w:start w:val="1"/>
      <w:numFmt w:val="bullet"/>
      <w:lvlText w:val="o"/>
      <w:lvlJc w:val="left"/>
      <w:pPr>
        <w:ind w:left="5760" w:hanging="360"/>
      </w:pPr>
      <w:rPr>
        <w:rFonts w:ascii="Courier New" w:hAnsi="Courier New" w:hint="default"/>
      </w:rPr>
    </w:lvl>
    <w:lvl w:ilvl="8" w:tplc="30245E6A">
      <w:start w:val="1"/>
      <w:numFmt w:val="bullet"/>
      <w:lvlText w:val=""/>
      <w:lvlJc w:val="left"/>
      <w:pPr>
        <w:ind w:left="6480" w:hanging="360"/>
      </w:pPr>
      <w:rPr>
        <w:rFonts w:ascii="Wingdings" w:hAnsi="Wingdings" w:hint="default"/>
      </w:rPr>
    </w:lvl>
  </w:abstractNum>
  <w:abstractNum w:abstractNumId="11" w15:restartNumberingAfterBreak="0">
    <w:nsid w:val="3D69314A"/>
    <w:multiLevelType w:val="hybridMultilevel"/>
    <w:tmpl w:val="287ED47A"/>
    <w:lvl w:ilvl="0" w:tplc="D84C88F6">
      <w:start w:val="1"/>
      <w:numFmt w:val="bullet"/>
      <w:lvlText w:val="·"/>
      <w:lvlJc w:val="left"/>
      <w:pPr>
        <w:ind w:left="720" w:hanging="360"/>
      </w:pPr>
      <w:rPr>
        <w:rFonts w:ascii="Symbol" w:hAnsi="Symbol" w:hint="default"/>
      </w:rPr>
    </w:lvl>
    <w:lvl w:ilvl="1" w:tplc="E7FE975A">
      <w:start w:val="1"/>
      <w:numFmt w:val="bullet"/>
      <w:lvlText w:val="o"/>
      <w:lvlJc w:val="left"/>
      <w:pPr>
        <w:ind w:left="1440" w:hanging="360"/>
      </w:pPr>
      <w:rPr>
        <w:rFonts w:ascii="Courier New" w:hAnsi="Courier New" w:hint="default"/>
      </w:rPr>
    </w:lvl>
    <w:lvl w:ilvl="2" w:tplc="C8B210B6">
      <w:start w:val="1"/>
      <w:numFmt w:val="bullet"/>
      <w:lvlText w:val=""/>
      <w:lvlJc w:val="left"/>
      <w:pPr>
        <w:ind w:left="2160" w:hanging="360"/>
      </w:pPr>
      <w:rPr>
        <w:rFonts w:ascii="Wingdings" w:hAnsi="Wingdings" w:hint="default"/>
      </w:rPr>
    </w:lvl>
    <w:lvl w:ilvl="3" w:tplc="64D80E7C">
      <w:start w:val="1"/>
      <w:numFmt w:val="bullet"/>
      <w:lvlText w:val=""/>
      <w:lvlJc w:val="left"/>
      <w:pPr>
        <w:ind w:left="2880" w:hanging="360"/>
      </w:pPr>
      <w:rPr>
        <w:rFonts w:ascii="Symbol" w:hAnsi="Symbol" w:hint="default"/>
      </w:rPr>
    </w:lvl>
    <w:lvl w:ilvl="4" w:tplc="EE64167C">
      <w:start w:val="1"/>
      <w:numFmt w:val="bullet"/>
      <w:lvlText w:val="o"/>
      <w:lvlJc w:val="left"/>
      <w:pPr>
        <w:ind w:left="3600" w:hanging="360"/>
      </w:pPr>
      <w:rPr>
        <w:rFonts w:ascii="Courier New" w:hAnsi="Courier New" w:hint="default"/>
      </w:rPr>
    </w:lvl>
    <w:lvl w:ilvl="5" w:tplc="1B9EEEE2">
      <w:start w:val="1"/>
      <w:numFmt w:val="bullet"/>
      <w:lvlText w:val=""/>
      <w:lvlJc w:val="left"/>
      <w:pPr>
        <w:ind w:left="4320" w:hanging="360"/>
      </w:pPr>
      <w:rPr>
        <w:rFonts w:ascii="Wingdings" w:hAnsi="Wingdings" w:hint="default"/>
      </w:rPr>
    </w:lvl>
    <w:lvl w:ilvl="6" w:tplc="08A025BC">
      <w:start w:val="1"/>
      <w:numFmt w:val="bullet"/>
      <w:lvlText w:val=""/>
      <w:lvlJc w:val="left"/>
      <w:pPr>
        <w:ind w:left="5040" w:hanging="360"/>
      </w:pPr>
      <w:rPr>
        <w:rFonts w:ascii="Symbol" w:hAnsi="Symbol" w:hint="default"/>
      </w:rPr>
    </w:lvl>
    <w:lvl w:ilvl="7" w:tplc="20584A0A">
      <w:start w:val="1"/>
      <w:numFmt w:val="bullet"/>
      <w:lvlText w:val="o"/>
      <w:lvlJc w:val="left"/>
      <w:pPr>
        <w:ind w:left="5760" w:hanging="360"/>
      </w:pPr>
      <w:rPr>
        <w:rFonts w:ascii="Courier New" w:hAnsi="Courier New" w:hint="default"/>
      </w:rPr>
    </w:lvl>
    <w:lvl w:ilvl="8" w:tplc="C8225F26">
      <w:start w:val="1"/>
      <w:numFmt w:val="bullet"/>
      <w:lvlText w:val=""/>
      <w:lvlJc w:val="left"/>
      <w:pPr>
        <w:ind w:left="6480" w:hanging="360"/>
      </w:pPr>
      <w:rPr>
        <w:rFonts w:ascii="Wingdings" w:hAnsi="Wingdings" w:hint="default"/>
      </w:rPr>
    </w:lvl>
  </w:abstractNum>
  <w:abstractNum w:abstractNumId="12" w15:restartNumberingAfterBreak="0">
    <w:nsid w:val="41229A14"/>
    <w:multiLevelType w:val="hybridMultilevel"/>
    <w:tmpl w:val="FFFFFFFF"/>
    <w:lvl w:ilvl="0" w:tplc="571C57B2">
      <w:start w:val="1"/>
      <w:numFmt w:val="bullet"/>
      <w:lvlText w:val=""/>
      <w:lvlJc w:val="left"/>
      <w:pPr>
        <w:ind w:left="720" w:hanging="360"/>
      </w:pPr>
      <w:rPr>
        <w:rFonts w:ascii="Symbol" w:hAnsi="Symbol" w:hint="default"/>
      </w:rPr>
    </w:lvl>
    <w:lvl w:ilvl="1" w:tplc="BFE67210">
      <w:start w:val="1"/>
      <w:numFmt w:val="bullet"/>
      <w:lvlText w:val="o"/>
      <w:lvlJc w:val="left"/>
      <w:pPr>
        <w:ind w:left="1440" w:hanging="360"/>
      </w:pPr>
      <w:rPr>
        <w:rFonts w:ascii="Courier New" w:hAnsi="Courier New" w:hint="default"/>
      </w:rPr>
    </w:lvl>
    <w:lvl w:ilvl="2" w:tplc="3F2A9390">
      <w:start w:val="1"/>
      <w:numFmt w:val="bullet"/>
      <w:lvlText w:val=""/>
      <w:lvlJc w:val="left"/>
      <w:pPr>
        <w:ind w:left="2160" w:hanging="360"/>
      </w:pPr>
      <w:rPr>
        <w:rFonts w:ascii="Wingdings" w:hAnsi="Wingdings" w:hint="default"/>
      </w:rPr>
    </w:lvl>
    <w:lvl w:ilvl="3" w:tplc="847041EA">
      <w:start w:val="1"/>
      <w:numFmt w:val="bullet"/>
      <w:lvlText w:val=""/>
      <w:lvlJc w:val="left"/>
      <w:pPr>
        <w:ind w:left="2880" w:hanging="360"/>
      </w:pPr>
      <w:rPr>
        <w:rFonts w:ascii="Symbol" w:hAnsi="Symbol" w:hint="default"/>
      </w:rPr>
    </w:lvl>
    <w:lvl w:ilvl="4" w:tplc="35182F50">
      <w:start w:val="1"/>
      <w:numFmt w:val="bullet"/>
      <w:lvlText w:val="o"/>
      <w:lvlJc w:val="left"/>
      <w:pPr>
        <w:ind w:left="3600" w:hanging="360"/>
      </w:pPr>
      <w:rPr>
        <w:rFonts w:ascii="Courier New" w:hAnsi="Courier New" w:hint="default"/>
      </w:rPr>
    </w:lvl>
    <w:lvl w:ilvl="5" w:tplc="61EE572E">
      <w:start w:val="1"/>
      <w:numFmt w:val="bullet"/>
      <w:lvlText w:val=""/>
      <w:lvlJc w:val="left"/>
      <w:pPr>
        <w:ind w:left="4320" w:hanging="360"/>
      </w:pPr>
      <w:rPr>
        <w:rFonts w:ascii="Wingdings" w:hAnsi="Wingdings" w:hint="default"/>
      </w:rPr>
    </w:lvl>
    <w:lvl w:ilvl="6" w:tplc="02DC1AFA">
      <w:start w:val="1"/>
      <w:numFmt w:val="bullet"/>
      <w:lvlText w:val=""/>
      <w:lvlJc w:val="left"/>
      <w:pPr>
        <w:ind w:left="5040" w:hanging="360"/>
      </w:pPr>
      <w:rPr>
        <w:rFonts w:ascii="Symbol" w:hAnsi="Symbol" w:hint="default"/>
      </w:rPr>
    </w:lvl>
    <w:lvl w:ilvl="7" w:tplc="37EA8404">
      <w:start w:val="1"/>
      <w:numFmt w:val="bullet"/>
      <w:lvlText w:val="o"/>
      <w:lvlJc w:val="left"/>
      <w:pPr>
        <w:ind w:left="5760" w:hanging="360"/>
      </w:pPr>
      <w:rPr>
        <w:rFonts w:ascii="Courier New" w:hAnsi="Courier New" w:hint="default"/>
      </w:rPr>
    </w:lvl>
    <w:lvl w:ilvl="8" w:tplc="1742C54E">
      <w:start w:val="1"/>
      <w:numFmt w:val="bullet"/>
      <w:lvlText w:val=""/>
      <w:lvlJc w:val="left"/>
      <w:pPr>
        <w:ind w:left="6480" w:hanging="360"/>
      </w:pPr>
      <w:rPr>
        <w:rFonts w:ascii="Wingdings" w:hAnsi="Wingdings" w:hint="default"/>
      </w:rPr>
    </w:lvl>
  </w:abstractNum>
  <w:abstractNum w:abstractNumId="13" w15:restartNumberingAfterBreak="0">
    <w:nsid w:val="516C69CC"/>
    <w:multiLevelType w:val="multilevel"/>
    <w:tmpl w:val="ECBEFBF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3899008"/>
    <w:multiLevelType w:val="hybridMultilevel"/>
    <w:tmpl w:val="54141B84"/>
    <w:lvl w:ilvl="0" w:tplc="DAE4E908">
      <w:start w:val="1"/>
      <w:numFmt w:val="bullet"/>
      <w:lvlText w:val="-"/>
      <w:lvlJc w:val="left"/>
      <w:pPr>
        <w:ind w:left="720" w:hanging="360"/>
      </w:pPr>
      <w:rPr>
        <w:rFonts w:ascii="Aptos" w:hAnsi="Aptos" w:hint="default"/>
      </w:rPr>
    </w:lvl>
    <w:lvl w:ilvl="1" w:tplc="5F92DA1C">
      <w:start w:val="1"/>
      <w:numFmt w:val="bullet"/>
      <w:lvlText w:val="o"/>
      <w:lvlJc w:val="left"/>
      <w:pPr>
        <w:ind w:left="1440" w:hanging="360"/>
      </w:pPr>
      <w:rPr>
        <w:rFonts w:ascii="Courier New" w:hAnsi="Courier New" w:hint="default"/>
      </w:rPr>
    </w:lvl>
    <w:lvl w:ilvl="2" w:tplc="0FE0755E">
      <w:start w:val="1"/>
      <w:numFmt w:val="bullet"/>
      <w:lvlText w:val=""/>
      <w:lvlJc w:val="left"/>
      <w:pPr>
        <w:ind w:left="2160" w:hanging="360"/>
      </w:pPr>
      <w:rPr>
        <w:rFonts w:ascii="Wingdings" w:hAnsi="Wingdings" w:hint="default"/>
      </w:rPr>
    </w:lvl>
    <w:lvl w:ilvl="3" w:tplc="073612BC">
      <w:start w:val="1"/>
      <w:numFmt w:val="bullet"/>
      <w:lvlText w:val=""/>
      <w:lvlJc w:val="left"/>
      <w:pPr>
        <w:ind w:left="2880" w:hanging="360"/>
      </w:pPr>
      <w:rPr>
        <w:rFonts w:ascii="Symbol" w:hAnsi="Symbol" w:hint="default"/>
      </w:rPr>
    </w:lvl>
    <w:lvl w:ilvl="4" w:tplc="27BCC9C0">
      <w:start w:val="1"/>
      <w:numFmt w:val="bullet"/>
      <w:lvlText w:val="o"/>
      <w:lvlJc w:val="left"/>
      <w:pPr>
        <w:ind w:left="3600" w:hanging="360"/>
      </w:pPr>
      <w:rPr>
        <w:rFonts w:ascii="Courier New" w:hAnsi="Courier New" w:hint="default"/>
      </w:rPr>
    </w:lvl>
    <w:lvl w:ilvl="5" w:tplc="82F0AA3C">
      <w:start w:val="1"/>
      <w:numFmt w:val="bullet"/>
      <w:lvlText w:val=""/>
      <w:lvlJc w:val="left"/>
      <w:pPr>
        <w:ind w:left="4320" w:hanging="360"/>
      </w:pPr>
      <w:rPr>
        <w:rFonts w:ascii="Wingdings" w:hAnsi="Wingdings" w:hint="default"/>
      </w:rPr>
    </w:lvl>
    <w:lvl w:ilvl="6" w:tplc="2A5C71C2">
      <w:start w:val="1"/>
      <w:numFmt w:val="bullet"/>
      <w:lvlText w:val=""/>
      <w:lvlJc w:val="left"/>
      <w:pPr>
        <w:ind w:left="5040" w:hanging="360"/>
      </w:pPr>
      <w:rPr>
        <w:rFonts w:ascii="Symbol" w:hAnsi="Symbol" w:hint="default"/>
      </w:rPr>
    </w:lvl>
    <w:lvl w:ilvl="7" w:tplc="BCB27B54">
      <w:start w:val="1"/>
      <w:numFmt w:val="bullet"/>
      <w:lvlText w:val="o"/>
      <w:lvlJc w:val="left"/>
      <w:pPr>
        <w:ind w:left="5760" w:hanging="360"/>
      </w:pPr>
      <w:rPr>
        <w:rFonts w:ascii="Courier New" w:hAnsi="Courier New" w:hint="default"/>
      </w:rPr>
    </w:lvl>
    <w:lvl w:ilvl="8" w:tplc="D040E022">
      <w:start w:val="1"/>
      <w:numFmt w:val="bullet"/>
      <w:lvlText w:val=""/>
      <w:lvlJc w:val="left"/>
      <w:pPr>
        <w:ind w:left="6480" w:hanging="360"/>
      </w:pPr>
      <w:rPr>
        <w:rFonts w:ascii="Wingdings" w:hAnsi="Wingdings" w:hint="default"/>
      </w:rPr>
    </w:lvl>
  </w:abstractNum>
  <w:abstractNum w:abstractNumId="15" w15:restartNumberingAfterBreak="0">
    <w:nsid w:val="57D02178"/>
    <w:multiLevelType w:val="hybridMultilevel"/>
    <w:tmpl w:val="6A5E23B0"/>
    <w:lvl w:ilvl="0" w:tplc="724C2D22">
      <w:start w:val="1"/>
      <w:numFmt w:val="lowerLetter"/>
      <w:lvlText w:val="b)"/>
      <w:lvlJc w:val="left"/>
      <w:pPr>
        <w:ind w:left="720" w:hanging="360"/>
      </w:pPr>
    </w:lvl>
    <w:lvl w:ilvl="1" w:tplc="BD445476">
      <w:start w:val="1"/>
      <w:numFmt w:val="lowerLetter"/>
      <w:lvlText w:val="%2."/>
      <w:lvlJc w:val="left"/>
      <w:pPr>
        <w:ind w:left="1440" w:hanging="360"/>
      </w:pPr>
    </w:lvl>
    <w:lvl w:ilvl="2" w:tplc="9FC6F81E">
      <w:start w:val="1"/>
      <w:numFmt w:val="lowerRoman"/>
      <w:lvlText w:val="%3."/>
      <w:lvlJc w:val="right"/>
      <w:pPr>
        <w:ind w:left="2160" w:hanging="180"/>
      </w:pPr>
    </w:lvl>
    <w:lvl w:ilvl="3" w:tplc="2DC8D296">
      <w:start w:val="1"/>
      <w:numFmt w:val="decimal"/>
      <w:lvlText w:val="%4."/>
      <w:lvlJc w:val="left"/>
      <w:pPr>
        <w:ind w:left="2880" w:hanging="360"/>
      </w:pPr>
    </w:lvl>
    <w:lvl w:ilvl="4" w:tplc="67EC2A96">
      <w:start w:val="1"/>
      <w:numFmt w:val="lowerLetter"/>
      <w:lvlText w:val="%5."/>
      <w:lvlJc w:val="left"/>
      <w:pPr>
        <w:ind w:left="3600" w:hanging="360"/>
      </w:pPr>
    </w:lvl>
    <w:lvl w:ilvl="5" w:tplc="2664304A">
      <w:start w:val="1"/>
      <w:numFmt w:val="lowerRoman"/>
      <w:lvlText w:val="%6."/>
      <w:lvlJc w:val="right"/>
      <w:pPr>
        <w:ind w:left="4320" w:hanging="180"/>
      </w:pPr>
    </w:lvl>
    <w:lvl w:ilvl="6" w:tplc="E81C3256">
      <w:start w:val="1"/>
      <w:numFmt w:val="decimal"/>
      <w:lvlText w:val="%7."/>
      <w:lvlJc w:val="left"/>
      <w:pPr>
        <w:ind w:left="5040" w:hanging="360"/>
      </w:pPr>
    </w:lvl>
    <w:lvl w:ilvl="7" w:tplc="5BBA6D22">
      <w:start w:val="1"/>
      <w:numFmt w:val="lowerLetter"/>
      <w:lvlText w:val="%8."/>
      <w:lvlJc w:val="left"/>
      <w:pPr>
        <w:ind w:left="5760" w:hanging="360"/>
      </w:pPr>
    </w:lvl>
    <w:lvl w:ilvl="8" w:tplc="2C9A8564">
      <w:start w:val="1"/>
      <w:numFmt w:val="lowerRoman"/>
      <w:lvlText w:val="%9."/>
      <w:lvlJc w:val="right"/>
      <w:pPr>
        <w:ind w:left="6480" w:hanging="180"/>
      </w:pPr>
    </w:lvl>
  </w:abstractNum>
  <w:abstractNum w:abstractNumId="16" w15:restartNumberingAfterBreak="0">
    <w:nsid w:val="612316F0"/>
    <w:multiLevelType w:val="hybridMultilevel"/>
    <w:tmpl w:val="3D625C78"/>
    <w:lvl w:ilvl="0" w:tplc="55F2B956">
      <w:start w:val="1"/>
      <w:numFmt w:val="bullet"/>
      <w:lvlText w:val=""/>
      <w:lvlJc w:val="left"/>
      <w:pPr>
        <w:ind w:left="360" w:hanging="360"/>
      </w:pPr>
      <w:rPr>
        <w:rFonts w:ascii="Symbol" w:hAnsi="Symbol" w:hint="default"/>
      </w:rPr>
    </w:lvl>
    <w:lvl w:ilvl="1" w:tplc="CC8E1310">
      <w:start w:val="1"/>
      <w:numFmt w:val="bullet"/>
      <w:lvlText w:val="o"/>
      <w:lvlJc w:val="left"/>
      <w:pPr>
        <w:ind w:left="1080" w:hanging="360"/>
      </w:pPr>
      <w:rPr>
        <w:rFonts w:ascii="Courier New" w:hAnsi="Courier New" w:hint="default"/>
      </w:rPr>
    </w:lvl>
    <w:lvl w:ilvl="2" w:tplc="C0843DB2">
      <w:start w:val="1"/>
      <w:numFmt w:val="bullet"/>
      <w:lvlText w:val=""/>
      <w:lvlJc w:val="left"/>
      <w:pPr>
        <w:ind w:left="1800" w:hanging="360"/>
      </w:pPr>
      <w:rPr>
        <w:rFonts w:ascii="Wingdings" w:hAnsi="Wingdings" w:hint="default"/>
      </w:rPr>
    </w:lvl>
    <w:lvl w:ilvl="3" w:tplc="29F2A1F0">
      <w:start w:val="1"/>
      <w:numFmt w:val="bullet"/>
      <w:lvlText w:val=""/>
      <w:lvlJc w:val="left"/>
      <w:pPr>
        <w:ind w:left="2520" w:hanging="360"/>
      </w:pPr>
      <w:rPr>
        <w:rFonts w:ascii="Symbol" w:hAnsi="Symbol" w:hint="default"/>
      </w:rPr>
    </w:lvl>
    <w:lvl w:ilvl="4" w:tplc="1A7C4D7E">
      <w:start w:val="1"/>
      <w:numFmt w:val="bullet"/>
      <w:lvlText w:val="o"/>
      <w:lvlJc w:val="left"/>
      <w:pPr>
        <w:ind w:left="3240" w:hanging="360"/>
      </w:pPr>
      <w:rPr>
        <w:rFonts w:ascii="Courier New" w:hAnsi="Courier New" w:hint="default"/>
      </w:rPr>
    </w:lvl>
    <w:lvl w:ilvl="5" w:tplc="523086CC">
      <w:start w:val="1"/>
      <w:numFmt w:val="bullet"/>
      <w:lvlText w:val=""/>
      <w:lvlJc w:val="left"/>
      <w:pPr>
        <w:ind w:left="3960" w:hanging="360"/>
      </w:pPr>
      <w:rPr>
        <w:rFonts w:ascii="Wingdings" w:hAnsi="Wingdings" w:hint="default"/>
      </w:rPr>
    </w:lvl>
    <w:lvl w:ilvl="6" w:tplc="AFACDEDA">
      <w:start w:val="1"/>
      <w:numFmt w:val="bullet"/>
      <w:lvlText w:val=""/>
      <w:lvlJc w:val="left"/>
      <w:pPr>
        <w:ind w:left="4680" w:hanging="360"/>
      </w:pPr>
      <w:rPr>
        <w:rFonts w:ascii="Symbol" w:hAnsi="Symbol" w:hint="default"/>
      </w:rPr>
    </w:lvl>
    <w:lvl w:ilvl="7" w:tplc="E7E284CE">
      <w:start w:val="1"/>
      <w:numFmt w:val="bullet"/>
      <w:lvlText w:val="o"/>
      <w:lvlJc w:val="left"/>
      <w:pPr>
        <w:ind w:left="5400" w:hanging="360"/>
      </w:pPr>
      <w:rPr>
        <w:rFonts w:ascii="Courier New" w:hAnsi="Courier New" w:hint="default"/>
      </w:rPr>
    </w:lvl>
    <w:lvl w:ilvl="8" w:tplc="55D40D06">
      <w:start w:val="1"/>
      <w:numFmt w:val="bullet"/>
      <w:lvlText w:val=""/>
      <w:lvlJc w:val="left"/>
      <w:pPr>
        <w:ind w:left="6120" w:hanging="360"/>
      </w:pPr>
      <w:rPr>
        <w:rFonts w:ascii="Wingdings" w:hAnsi="Wingdings" w:hint="default"/>
      </w:rPr>
    </w:lvl>
  </w:abstractNum>
  <w:abstractNum w:abstractNumId="17" w15:restartNumberingAfterBreak="0">
    <w:nsid w:val="65595AF3"/>
    <w:multiLevelType w:val="multilevel"/>
    <w:tmpl w:val="DBF26A24"/>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B8F7B4"/>
    <w:multiLevelType w:val="hybridMultilevel"/>
    <w:tmpl w:val="43349E56"/>
    <w:lvl w:ilvl="0" w:tplc="E70A2A4E">
      <w:start w:val="1"/>
      <w:numFmt w:val="bullet"/>
      <w:lvlText w:val="·"/>
      <w:lvlJc w:val="left"/>
      <w:pPr>
        <w:ind w:left="720" w:hanging="360"/>
      </w:pPr>
      <w:rPr>
        <w:rFonts w:ascii="Symbol" w:hAnsi="Symbol" w:hint="default"/>
      </w:rPr>
    </w:lvl>
    <w:lvl w:ilvl="1" w:tplc="6C1E4A54">
      <w:start w:val="1"/>
      <w:numFmt w:val="bullet"/>
      <w:lvlText w:val="o"/>
      <w:lvlJc w:val="left"/>
      <w:pPr>
        <w:ind w:left="1440" w:hanging="360"/>
      </w:pPr>
      <w:rPr>
        <w:rFonts w:ascii="Courier New" w:hAnsi="Courier New" w:hint="default"/>
      </w:rPr>
    </w:lvl>
    <w:lvl w:ilvl="2" w:tplc="C614A436">
      <w:start w:val="1"/>
      <w:numFmt w:val="bullet"/>
      <w:lvlText w:val=""/>
      <w:lvlJc w:val="left"/>
      <w:pPr>
        <w:ind w:left="2160" w:hanging="360"/>
      </w:pPr>
      <w:rPr>
        <w:rFonts w:ascii="Wingdings" w:hAnsi="Wingdings" w:hint="default"/>
      </w:rPr>
    </w:lvl>
    <w:lvl w:ilvl="3" w:tplc="457C0C64">
      <w:start w:val="1"/>
      <w:numFmt w:val="bullet"/>
      <w:lvlText w:val=""/>
      <w:lvlJc w:val="left"/>
      <w:pPr>
        <w:ind w:left="2880" w:hanging="360"/>
      </w:pPr>
      <w:rPr>
        <w:rFonts w:ascii="Symbol" w:hAnsi="Symbol" w:hint="default"/>
      </w:rPr>
    </w:lvl>
    <w:lvl w:ilvl="4" w:tplc="939ADF1A">
      <w:start w:val="1"/>
      <w:numFmt w:val="bullet"/>
      <w:lvlText w:val="o"/>
      <w:lvlJc w:val="left"/>
      <w:pPr>
        <w:ind w:left="3600" w:hanging="360"/>
      </w:pPr>
      <w:rPr>
        <w:rFonts w:ascii="Courier New" w:hAnsi="Courier New" w:hint="default"/>
      </w:rPr>
    </w:lvl>
    <w:lvl w:ilvl="5" w:tplc="7BFA8D4C">
      <w:start w:val="1"/>
      <w:numFmt w:val="bullet"/>
      <w:lvlText w:val=""/>
      <w:lvlJc w:val="left"/>
      <w:pPr>
        <w:ind w:left="4320" w:hanging="360"/>
      </w:pPr>
      <w:rPr>
        <w:rFonts w:ascii="Wingdings" w:hAnsi="Wingdings" w:hint="default"/>
      </w:rPr>
    </w:lvl>
    <w:lvl w:ilvl="6" w:tplc="3850B458">
      <w:start w:val="1"/>
      <w:numFmt w:val="bullet"/>
      <w:lvlText w:val=""/>
      <w:lvlJc w:val="left"/>
      <w:pPr>
        <w:ind w:left="5040" w:hanging="360"/>
      </w:pPr>
      <w:rPr>
        <w:rFonts w:ascii="Symbol" w:hAnsi="Symbol" w:hint="default"/>
      </w:rPr>
    </w:lvl>
    <w:lvl w:ilvl="7" w:tplc="2960CA80">
      <w:start w:val="1"/>
      <w:numFmt w:val="bullet"/>
      <w:lvlText w:val="o"/>
      <w:lvlJc w:val="left"/>
      <w:pPr>
        <w:ind w:left="5760" w:hanging="360"/>
      </w:pPr>
      <w:rPr>
        <w:rFonts w:ascii="Courier New" w:hAnsi="Courier New" w:hint="default"/>
      </w:rPr>
    </w:lvl>
    <w:lvl w:ilvl="8" w:tplc="2E2010B6">
      <w:start w:val="1"/>
      <w:numFmt w:val="bullet"/>
      <w:lvlText w:val=""/>
      <w:lvlJc w:val="left"/>
      <w:pPr>
        <w:ind w:left="6480" w:hanging="360"/>
      </w:pPr>
      <w:rPr>
        <w:rFonts w:ascii="Wingdings" w:hAnsi="Wingdings" w:hint="default"/>
      </w:rPr>
    </w:lvl>
  </w:abstractNum>
  <w:num w:numId="1" w16cid:durableId="927544175">
    <w:abstractNumId w:val="13"/>
  </w:num>
  <w:num w:numId="2" w16cid:durableId="1503279093">
    <w:abstractNumId w:val="17"/>
  </w:num>
  <w:num w:numId="3" w16cid:durableId="1316648446">
    <w:abstractNumId w:val="7"/>
  </w:num>
  <w:num w:numId="4" w16cid:durableId="416095928">
    <w:abstractNumId w:val="1"/>
  </w:num>
  <w:num w:numId="5" w16cid:durableId="1566138970">
    <w:abstractNumId w:val="0"/>
  </w:num>
  <w:num w:numId="6" w16cid:durableId="977804480">
    <w:abstractNumId w:val="12"/>
  </w:num>
  <w:num w:numId="7" w16cid:durableId="2019696350">
    <w:abstractNumId w:val="3"/>
  </w:num>
  <w:num w:numId="8" w16cid:durableId="1390225052">
    <w:abstractNumId w:val="2"/>
  </w:num>
  <w:num w:numId="9" w16cid:durableId="763576181">
    <w:abstractNumId w:val="10"/>
  </w:num>
  <w:num w:numId="10" w16cid:durableId="1955481894">
    <w:abstractNumId w:val="6"/>
  </w:num>
  <w:num w:numId="11" w16cid:durableId="25183135">
    <w:abstractNumId w:val="5"/>
  </w:num>
  <w:num w:numId="12" w16cid:durableId="362905311">
    <w:abstractNumId w:val="18"/>
  </w:num>
  <w:num w:numId="13" w16cid:durableId="1338726937">
    <w:abstractNumId w:val="15"/>
  </w:num>
  <w:num w:numId="14" w16cid:durableId="1897931487">
    <w:abstractNumId w:val="4"/>
  </w:num>
  <w:num w:numId="15" w16cid:durableId="668093368">
    <w:abstractNumId w:val="11"/>
  </w:num>
  <w:num w:numId="16" w16cid:durableId="2097745881">
    <w:abstractNumId w:val="9"/>
  </w:num>
  <w:num w:numId="17" w16cid:durableId="527181358">
    <w:abstractNumId w:val="8"/>
  </w:num>
  <w:num w:numId="18" w16cid:durableId="1255284388">
    <w:abstractNumId w:val="14"/>
  </w:num>
  <w:num w:numId="19" w16cid:durableId="170085738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1"/>
    <w:rsid w:val="000F5E9C"/>
    <w:rsid w:val="00395EA8"/>
    <w:rsid w:val="00606ACB"/>
    <w:rsid w:val="00682E50"/>
    <w:rsid w:val="007A4A91"/>
    <w:rsid w:val="00C515BB"/>
    <w:rsid w:val="00CBAE00"/>
    <w:rsid w:val="00D05B18"/>
    <w:rsid w:val="00E36C6F"/>
    <w:rsid w:val="00FC1AA5"/>
    <w:rsid w:val="00FC639F"/>
    <w:rsid w:val="0370482D"/>
    <w:rsid w:val="06AAE431"/>
    <w:rsid w:val="07F3C68A"/>
    <w:rsid w:val="0A625B5B"/>
    <w:rsid w:val="0ACAC8AC"/>
    <w:rsid w:val="0C4EF09B"/>
    <w:rsid w:val="1102E44A"/>
    <w:rsid w:val="11F8167A"/>
    <w:rsid w:val="14F83D35"/>
    <w:rsid w:val="15D85B19"/>
    <w:rsid w:val="164385D1"/>
    <w:rsid w:val="1C78D00D"/>
    <w:rsid w:val="1D1C0E65"/>
    <w:rsid w:val="1D9EE6B9"/>
    <w:rsid w:val="200A4641"/>
    <w:rsid w:val="221ABD69"/>
    <w:rsid w:val="237A16F5"/>
    <w:rsid w:val="25A30E0F"/>
    <w:rsid w:val="2AD4FA72"/>
    <w:rsid w:val="2F3849DC"/>
    <w:rsid w:val="2FB50903"/>
    <w:rsid w:val="305BD414"/>
    <w:rsid w:val="36387DDB"/>
    <w:rsid w:val="395D2BF2"/>
    <w:rsid w:val="3EBF7CFE"/>
    <w:rsid w:val="4318241D"/>
    <w:rsid w:val="4C2E6DDD"/>
    <w:rsid w:val="4CEEC452"/>
    <w:rsid w:val="5041F490"/>
    <w:rsid w:val="5328F5DF"/>
    <w:rsid w:val="533DCDDD"/>
    <w:rsid w:val="5403C073"/>
    <w:rsid w:val="56DA3DDA"/>
    <w:rsid w:val="611F4E03"/>
    <w:rsid w:val="61EE67E2"/>
    <w:rsid w:val="672BDB8D"/>
    <w:rsid w:val="698A71E8"/>
    <w:rsid w:val="71EF62EA"/>
    <w:rsid w:val="72C92E0B"/>
    <w:rsid w:val="73356980"/>
    <w:rsid w:val="756F8BE4"/>
    <w:rsid w:val="792714CA"/>
    <w:rsid w:val="7F2E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53B478"/>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06ACB"/>
    <w:pPr>
      <w:tabs>
        <w:tab w:val="center" w:pos="4680"/>
        <w:tab w:val="right" w:pos="9360"/>
      </w:tabs>
      <w:spacing w:line="240" w:lineRule="auto"/>
    </w:pPr>
  </w:style>
  <w:style w:type="character" w:customStyle="1" w:styleId="HeaderChar">
    <w:name w:val="Header Char"/>
    <w:basedOn w:val="DefaultParagraphFont"/>
    <w:link w:val="Header"/>
    <w:uiPriority w:val="99"/>
    <w:rsid w:val="00606ACB"/>
  </w:style>
  <w:style w:type="paragraph" w:styleId="Footer">
    <w:name w:val="footer"/>
    <w:basedOn w:val="Normal"/>
    <w:link w:val="FooterChar"/>
    <w:uiPriority w:val="99"/>
    <w:unhideWhenUsed/>
    <w:rsid w:val="00606ACB"/>
    <w:pPr>
      <w:tabs>
        <w:tab w:val="center" w:pos="4680"/>
        <w:tab w:val="right" w:pos="9360"/>
      </w:tabs>
      <w:spacing w:line="240" w:lineRule="auto"/>
    </w:pPr>
  </w:style>
  <w:style w:type="character" w:customStyle="1" w:styleId="FooterChar">
    <w:name w:val="Footer Char"/>
    <w:basedOn w:val="DefaultParagraphFont"/>
    <w:link w:val="Footer"/>
    <w:uiPriority w:val="99"/>
    <w:rsid w:val="00606ACB"/>
  </w:style>
  <w:style w:type="character" w:styleId="Hyperlink">
    <w:name w:val="Hyperlink"/>
    <w:basedOn w:val="DefaultParagraphFont"/>
    <w:uiPriority w:val="99"/>
    <w:unhideWhenUsed/>
    <w:rsid w:val="00682E50"/>
    <w:rPr>
      <w:color w:val="0000FF" w:themeColor="hyperlink"/>
      <w:u w:val="single"/>
    </w:rPr>
  </w:style>
  <w:style w:type="character" w:styleId="FollowedHyperlink">
    <w:name w:val="FollowedHyperlink"/>
    <w:basedOn w:val="DefaultParagraphFont"/>
    <w:uiPriority w:val="99"/>
    <w:semiHidden/>
    <w:unhideWhenUsed/>
    <w:rsid w:val="00682E50"/>
    <w:rPr>
      <w:color w:val="800080" w:themeColor="followedHyperlink"/>
      <w:u w:val="single"/>
    </w:rPr>
  </w:style>
  <w:style w:type="paragraph" w:styleId="CommentText">
    <w:name w:val="annotation text"/>
    <w:basedOn w:val="Normal"/>
    <w:link w:val="CommentTextChar"/>
    <w:uiPriority w:val="99"/>
    <w:semiHidden/>
    <w:unhideWhenUsed/>
    <w:rsid w:val="00682E50"/>
    <w:pPr>
      <w:spacing w:line="240" w:lineRule="auto"/>
    </w:pPr>
    <w:rPr>
      <w:sz w:val="20"/>
      <w:szCs w:val="20"/>
      <w:lang w:eastAsia="ja-JP"/>
    </w:rPr>
  </w:style>
  <w:style w:type="character" w:customStyle="1" w:styleId="CommentTextChar">
    <w:name w:val="Comment Text Char"/>
    <w:basedOn w:val="DefaultParagraphFont"/>
    <w:link w:val="CommentText"/>
    <w:uiPriority w:val="99"/>
    <w:semiHidden/>
    <w:rsid w:val="00682E50"/>
    <w:rPr>
      <w:sz w:val="20"/>
      <w:szCs w:val="20"/>
      <w:lang w:eastAsia="ja-JP"/>
    </w:rPr>
  </w:style>
  <w:style w:type="character" w:styleId="CommentReference">
    <w:name w:val="annotation reference"/>
    <w:basedOn w:val="DefaultParagraphFont"/>
    <w:uiPriority w:val="99"/>
    <w:semiHidden/>
    <w:unhideWhenUsed/>
    <w:rsid w:val="00682E50"/>
    <w:rPr>
      <w:sz w:val="16"/>
      <w:szCs w:val="16"/>
    </w:rPr>
  </w:style>
  <w:style w:type="character" w:styleId="Mention">
    <w:name w:val="Mention"/>
    <w:basedOn w:val="DefaultParagraphFont"/>
    <w:uiPriority w:val="99"/>
    <w:unhideWhenUsed/>
    <w:rsid w:val="00682E50"/>
    <w:rPr>
      <w:color w:val="2B579A"/>
      <w:shd w:val="clear" w:color="auto" w:fill="E6E6E6"/>
    </w:rPr>
  </w:style>
  <w:style w:type="paragraph" w:styleId="ListParagraph">
    <w:name w:val="List Paragraph"/>
    <w:basedOn w:val="Normal"/>
    <w:uiPriority w:val="34"/>
    <w:qFormat/>
    <w:rsid w:val="00682E50"/>
    <w:pPr>
      <w:ind w:left="720"/>
      <w:contextualSpacing/>
    </w:pPr>
    <w:rPr>
      <w:lang w:eastAsia="ja-JP"/>
    </w:rPr>
  </w:style>
  <w:style w:type="paragraph" w:styleId="Revision">
    <w:name w:val="Revision"/>
    <w:hidden/>
    <w:uiPriority w:val="99"/>
    <w:semiHidden/>
    <w:rsid w:val="00682E50"/>
    <w:pPr>
      <w:spacing w:line="240" w:lineRule="auto"/>
    </w:pPr>
    <w:rPr>
      <w:lang w:eastAsia="ja-JP"/>
    </w:rPr>
  </w:style>
  <w:style w:type="paragraph" w:customStyle="1" w:styleId="Heading">
    <w:name w:val="Heading"/>
    <w:basedOn w:val="NoSpacing"/>
    <w:link w:val="HeadingChar"/>
    <w:uiPriority w:val="1"/>
    <w:qFormat/>
    <w:rsid w:val="00682E50"/>
  </w:style>
  <w:style w:type="character" w:customStyle="1" w:styleId="HeadingChar">
    <w:name w:val="Heading Char"/>
    <w:link w:val="Heading"/>
    <w:uiPriority w:val="1"/>
    <w:rsid w:val="00682E50"/>
    <w:rPr>
      <w:rFonts w:ascii="Aptos" w:eastAsia="Aptos" w:hAnsi="Aptos" w:cs="Aptos"/>
      <w:b/>
      <w:bCs/>
      <w:lang w:val="en-US" w:eastAsia="ja-JP"/>
    </w:rPr>
  </w:style>
  <w:style w:type="paragraph" w:styleId="CommentSubject">
    <w:name w:val="annotation subject"/>
    <w:basedOn w:val="CommentText"/>
    <w:next w:val="CommentText"/>
    <w:link w:val="CommentSubjectChar"/>
    <w:uiPriority w:val="99"/>
    <w:semiHidden/>
    <w:unhideWhenUsed/>
    <w:rsid w:val="00682E50"/>
    <w:rPr>
      <w:b/>
      <w:bCs/>
    </w:rPr>
  </w:style>
  <w:style w:type="character" w:customStyle="1" w:styleId="CommentSubjectChar">
    <w:name w:val="Comment Subject Char"/>
    <w:basedOn w:val="CommentTextChar"/>
    <w:link w:val="CommentSubject"/>
    <w:uiPriority w:val="99"/>
    <w:semiHidden/>
    <w:rsid w:val="00682E50"/>
    <w:rPr>
      <w:b/>
      <w:bCs/>
      <w:sz w:val="20"/>
      <w:szCs w:val="20"/>
      <w:lang w:eastAsia="ja-JP"/>
    </w:rPr>
  </w:style>
  <w:style w:type="table" w:styleId="TableGrid">
    <w:name w:val="Table Grid"/>
    <w:basedOn w:val="TableNormal"/>
    <w:uiPriority w:val="59"/>
    <w:rsid w:val="00682E50"/>
    <w:pPr>
      <w:spacing w:line="240" w:lineRule="auto"/>
    </w:pPr>
    <w:rPr>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uiPriority w:val="39"/>
    <w:unhideWhenUsed/>
    <w:rsid w:val="00682E50"/>
    <w:pPr>
      <w:spacing w:before="120"/>
    </w:pPr>
    <w:rPr>
      <w:rFonts w:asciiTheme="minorHAnsi" w:hAnsiTheme="minorHAnsi"/>
      <w:b/>
      <w:bCs/>
      <w:i/>
      <w:iCs/>
      <w:sz w:val="24"/>
      <w:szCs w:val="24"/>
    </w:rPr>
  </w:style>
  <w:style w:type="paragraph" w:styleId="NoSpacing">
    <w:name w:val="No Spacing"/>
    <w:basedOn w:val="Normal"/>
    <w:uiPriority w:val="1"/>
    <w:qFormat/>
    <w:rsid w:val="00682E50"/>
    <w:pPr>
      <w:spacing w:line="240" w:lineRule="auto"/>
    </w:pPr>
    <w:rPr>
      <w:rFonts w:ascii="Aptos" w:eastAsia="Aptos" w:hAnsi="Aptos" w:cs="Aptos"/>
      <w:b/>
      <w:bCs/>
      <w:lang w:val="en-US" w:eastAsia="ja-JP"/>
    </w:rPr>
  </w:style>
  <w:style w:type="paragraph" w:customStyle="1" w:styleId="SC81Normal">
    <w:name w:val="SC81 Normal"/>
    <w:basedOn w:val="Heading"/>
    <w:qFormat/>
    <w:rsid w:val="00682E50"/>
    <w:pPr>
      <w:spacing w:after="120"/>
    </w:pPr>
    <w:rPr>
      <w:b w:val="0"/>
      <w:bCs w:val="0"/>
    </w:rPr>
  </w:style>
  <w:style w:type="character" w:styleId="UnresolvedMention">
    <w:name w:val="Unresolved Mention"/>
    <w:basedOn w:val="DefaultParagraphFont"/>
    <w:uiPriority w:val="99"/>
    <w:semiHidden/>
    <w:unhideWhenUsed/>
    <w:rsid w:val="00682E50"/>
    <w:rPr>
      <w:color w:val="605E5C"/>
      <w:shd w:val="clear" w:color="auto" w:fill="E1DFDD"/>
    </w:rPr>
  </w:style>
  <w:style w:type="paragraph" w:styleId="TOCHeading">
    <w:name w:val="TOC Heading"/>
    <w:basedOn w:val="Heading1"/>
    <w:next w:val="Normal"/>
    <w:uiPriority w:val="39"/>
    <w:unhideWhenUsed/>
    <w:qFormat/>
    <w:rsid w:val="00682E50"/>
    <w:pPr>
      <w:shd w:val="clear" w:color="auto" w:fill="auto"/>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2">
    <w:name w:val="toc 2"/>
    <w:basedOn w:val="Normal"/>
    <w:next w:val="Normal"/>
    <w:autoRedefine/>
    <w:uiPriority w:val="39"/>
    <w:semiHidden/>
    <w:unhideWhenUsed/>
    <w:rsid w:val="00682E50"/>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682E50"/>
    <w:pPr>
      <w:ind w:left="440"/>
    </w:pPr>
    <w:rPr>
      <w:rFonts w:asciiTheme="minorHAnsi" w:hAnsiTheme="minorHAnsi"/>
      <w:sz w:val="20"/>
      <w:szCs w:val="20"/>
    </w:rPr>
  </w:style>
  <w:style w:type="paragraph" w:styleId="TOC4">
    <w:name w:val="toc 4"/>
    <w:basedOn w:val="Normal"/>
    <w:next w:val="Normal"/>
    <w:autoRedefine/>
    <w:uiPriority w:val="39"/>
    <w:semiHidden/>
    <w:unhideWhenUsed/>
    <w:rsid w:val="00682E50"/>
    <w:pPr>
      <w:ind w:left="660"/>
    </w:pPr>
    <w:rPr>
      <w:rFonts w:asciiTheme="minorHAnsi" w:hAnsiTheme="minorHAnsi"/>
      <w:sz w:val="20"/>
      <w:szCs w:val="20"/>
    </w:rPr>
  </w:style>
  <w:style w:type="paragraph" w:styleId="TOC5">
    <w:name w:val="toc 5"/>
    <w:basedOn w:val="Normal"/>
    <w:next w:val="Normal"/>
    <w:autoRedefine/>
    <w:uiPriority w:val="39"/>
    <w:semiHidden/>
    <w:unhideWhenUsed/>
    <w:rsid w:val="00682E50"/>
    <w:pPr>
      <w:ind w:left="880"/>
    </w:pPr>
    <w:rPr>
      <w:rFonts w:asciiTheme="minorHAnsi" w:hAnsiTheme="minorHAnsi"/>
      <w:sz w:val="20"/>
      <w:szCs w:val="20"/>
    </w:rPr>
  </w:style>
  <w:style w:type="paragraph" w:styleId="TOC6">
    <w:name w:val="toc 6"/>
    <w:basedOn w:val="Normal"/>
    <w:next w:val="Normal"/>
    <w:autoRedefine/>
    <w:uiPriority w:val="39"/>
    <w:semiHidden/>
    <w:unhideWhenUsed/>
    <w:rsid w:val="00682E50"/>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682E50"/>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682E50"/>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682E50"/>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ites.org/sites/default/files/documents/SC/81/agenda/E-SC81-18.pdf" TargetMode="External"/><Relationship Id="rId21" Type="http://schemas.openxmlformats.org/officeDocument/2006/relationships/hyperlink" Target="https://alliance-health-wildlife.org/2026/05/29/new-alliance-publication-white-paper-on-live-wildlife-trade-and-markets/" TargetMode="External"/><Relationship Id="rId34" Type="http://schemas.openxmlformats.org/officeDocument/2006/relationships/hyperlink" Target="https://cites.org/sites/default/files/documents/SC/81/agenda/E-SC81-32-03.pdf" TargetMode="External"/><Relationship Id="rId42" Type="http://schemas.openxmlformats.org/officeDocument/2006/relationships/hyperlink" Target="https://cites.org/sites/default/files/documents/SC/81/agenda/E-SC81-36-02_1.pdf" TargetMode="External"/><Relationship Id="rId47" Type="http://schemas.openxmlformats.org/officeDocument/2006/relationships/hyperlink" Target="https://cites.org/sites/default/files/documents/SC/81/agenda/E-SC81-41.pdf" TargetMode="External"/><Relationship Id="rId50" Type="http://schemas.openxmlformats.org/officeDocument/2006/relationships/hyperlink" Target="https://cites.org/sites/default/files/documents/SC/81/agenda/E-SC81-45.pdf" TargetMode="External"/><Relationship Id="rId55" Type="http://schemas.openxmlformats.org/officeDocument/2006/relationships/hyperlink" Target="https://cites.org/sites/default/files/documents/SC/81/agenda/E-SC81-53-03.p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cs.org/coronavirus" TargetMode="External"/><Relationship Id="rId29" Type="http://schemas.openxmlformats.org/officeDocument/2006/relationships/hyperlink" Target="https://www.cbd.int/gbf/targets/5/" TargetMode="External"/><Relationship Id="rId11" Type="http://schemas.openxmlformats.org/officeDocument/2006/relationships/hyperlink" Target="https://www.wcs.org/our-work/solutions/international-policy" TargetMode="External"/><Relationship Id="rId24" Type="http://schemas.openxmlformats.org/officeDocument/2006/relationships/hyperlink" Target="https://cites.org/sites/default/files/documents/E-CoP20-Com-II-Rec-04-R1.pdf" TargetMode="External"/><Relationship Id="rId32" Type="http://schemas.openxmlformats.org/officeDocument/2006/relationships/hyperlink" Target="https://cites.org/sites/default/files/documents/SC/81/agenda/E-SC81-32-01.pdf" TargetMode="External"/><Relationship Id="rId37" Type="http://schemas.openxmlformats.org/officeDocument/2006/relationships/hyperlink" Target="https://cites.org/sites/default/files/documents/SC/81/agenda/E-SC81-33-06_0.pdf" TargetMode="External"/><Relationship Id="rId40" Type="http://schemas.openxmlformats.org/officeDocument/2006/relationships/hyperlink" Target="https://cites.org/sites/default/files/documents/SC/81/agenda/E-SC81-34-04.pdf" TargetMode="External"/><Relationship Id="rId45" Type="http://schemas.openxmlformats.org/officeDocument/2006/relationships/hyperlink" Target="https://cites.org/sites/default/files/documents/SC/81/agenda/E-SC81-39.pdf" TargetMode="External"/><Relationship Id="rId53" Type="http://schemas.openxmlformats.org/officeDocument/2006/relationships/hyperlink" Target="https://cites.org/sites/default/files/documents/SC/81/agenda/E-SC81-52.pdf" TargetMode="External"/><Relationship Id="rId58" Type="http://schemas.openxmlformats.org/officeDocument/2006/relationships/hyperlink" Target="https://cites.org/sites/default/files/documents/SC/81/agenda/E-SC81-55.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ites.org/sites/default/files/documents/SC/81/agenda/E-SC81-58.pdf" TargetMode="External"/><Relationship Id="rId19" Type="http://schemas.openxmlformats.org/officeDocument/2006/relationships/hyperlink" Target="https://www.cbd.int/doc/decisions/cop-16/cop-16-dec-19-en.pdf" TargetMode="External"/><Relationship Id="rId14" Type="http://schemas.openxmlformats.org/officeDocument/2006/relationships/hyperlink" Target="https://cites.org/sites/default/files/documents/SC/81/agenda/E-SC81-14.pdf" TargetMode="External"/><Relationship Id="rId22" Type="http://schemas.openxmlformats.org/officeDocument/2006/relationships/hyperlink" Target="https://cites.org/sites/default/files/documents/SC/81/agenda/E-SC81-15.pdf" TargetMode="External"/><Relationship Id="rId27" Type="http://schemas.openxmlformats.org/officeDocument/2006/relationships/hyperlink" Target="https://cites.org/sites/default/files/documents/SC/81/agenda/E-SC81-23.pdf" TargetMode="External"/><Relationship Id="rId30" Type="http://schemas.openxmlformats.org/officeDocument/2006/relationships/hyperlink" Target="https://cites.org/sites/default/files/documents/SC/81/agenda/E-SC81-29.pdf" TargetMode="External"/><Relationship Id="rId35" Type="http://schemas.openxmlformats.org/officeDocument/2006/relationships/hyperlink" Target="https://cites.org/sites/default/files/documents/SC/81/agenda/E-SC81-33-02.pdf" TargetMode="External"/><Relationship Id="rId43" Type="http://schemas.openxmlformats.org/officeDocument/2006/relationships/hyperlink" Target="https://cites.org/sites/default/files/documents/SC/81/agenda/E-SC81-37-02_0.pdf" TargetMode="External"/><Relationship Id="rId48" Type="http://schemas.openxmlformats.org/officeDocument/2006/relationships/hyperlink" Target="https://cites.org/sites/default/files/documents/SC/81/agenda/E-SC81-43-01.pdf" TargetMode="External"/><Relationship Id="rId56" Type="http://schemas.openxmlformats.org/officeDocument/2006/relationships/hyperlink" Target="https://cites.org/sites/default/files/documents/SC/81/agenda/E-SC81-53-03.pdf" TargetMode="External"/><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cites.org/sites/default/files/documents/SC/81/agenda/E-SC81-48.pdf" TargetMode="External"/><Relationship Id="rId3" Type="http://schemas.openxmlformats.org/officeDocument/2006/relationships/styles" Target="styles.xml"/><Relationship Id="rId12" Type="http://schemas.openxmlformats.org/officeDocument/2006/relationships/hyperlink" Target="https://cites.org/sites/default/files/documents/SC/81/agenda/E-SC81-13-01.pdf" TargetMode="External"/><Relationship Id="rId17" Type="http://schemas.openxmlformats.org/officeDocument/2006/relationships/hyperlink" Target="https://www.wcs.org/coronavirus" TargetMode="External"/><Relationship Id="rId25" Type="http://schemas.openxmlformats.org/officeDocument/2006/relationships/hyperlink" Target="https://cites.org/sites/default/files/documents/SC/81/agenda/E-SC81-17.pdf" TargetMode="External"/><Relationship Id="rId33" Type="http://schemas.openxmlformats.org/officeDocument/2006/relationships/hyperlink" Target="https://cites.org/sites/default/files/documents/SC/81/agenda/E-SC81-32-02_0.pdf" TargetMode="External"/><Relationship Id="rId38" Type="http://schemas.openxmlformats.org/officeDocument/2006/relationships/hyperlink" Target="https://cites.org/sites/default/files/documents/SC/81/agenda/E-SC81-33-10.pdf" TargetMode="External"/><Relationship Id="rId46" Type="http://schemas.openxmlformats.org/officeDocument/2006/relationships/hyperlink" Target="https://cites.org/sites/default/files/documents/SC/81/agenda/E-SC81-40-01.pdf" TargetMode="External"/><Relationship Id="rId59" Type="http://schemas.openxmlformats.org/officeDocument/2006/relationships/hyperlink" Target="https://cites.org/sites/default/files/documents/SC/81/agenda/E-SC81-56.pdf" TargetMode="External"/><Relationship Id="rId20" Type="http://schemas.openxmlformats.org/officeDocument/2006/relationships/hyperlink" Target="https://www.cbd.int/doc/decisions/cop-16/cop-16-dec-19-en.pdf" TargetMode="External"/><Relationship Id="rId41" Type="http://schemas.openxmlformats.org/officeDocument/2006/relationships/hyperlink" Target="https://cites.org/sites/default/files/documents/SC/81/agenda/E-SC81-36-01.pdf" TargetMode="External"/><Relationship Id="rId54" Type="http://schemas.openxmlformats.org/officeDocument/2006/relationships/hyperlink" Target="https://cites.org/sites/default/files/documents/SC/81/agenda/E-SC81-53-02.pdf" TargetMode="External"/><Relationship Id="rId62" Type="http://schemas.openxmlformats.org/officeDocument/2006/relationships/hyperlink" Target="https://cites.org/sites/default/files/documents/SC/81/agenda/E-SC81-5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neworldonehealth.wcs.org/" TargetMode="External"/><Relationship Id="rId23" Type="http://schemas.openxmlformats.org/officeDocument/2006/relationships/hyperlink" Target="https://cites.org/sites/default/files/documents/SC/81/agenda/E-SC81-16.pdf" TargetMode="External"/><Relationship Id="rId28" Type="http://schemas.openxmlformats.org/officeDocument/2006/relationships/hyperlink" Target="https://cites.org/sites/default/files/documents/SC/81/agenda/E-SC81-27.pdf" TargetMode="External"/><Relationship Id="rId36" Type="http://schemas.openxmlformats.org/officeDocument/2006/relationships/hyperlink" Target="https://cites.org/sites/default/files/documents/SC/81/agenda/E-SC81-33-05.pdf" TargetMode="External"/><Relationship Id="rId49" Type="http://schemas.openxmlformats.org/officeDocument/2006/relationships/hyperlink" Target="https://cites.org/sites/default/files/documents/SC/81/agenda/E-SC81-43-02.pdf" TargetMode="External"/><Relationship Id="rId57" Type="http://schemas.openxmlformats.org/officeDocument/2006/relationships/hyperlink" Target="https://cites.org/sites/default/files/documents/SC/81/agenda/E-SC81-53-03.pdf" TargetMode="External"/><Relationship Id="rId10" Type="http://schemas.openxmlformats.org/officeDocument/2006/relationships/hyperlink" Target="mailto:adegemmis@wcs.org" TargetMode="External"/><Relationship Id="rId31" Type="http://schemas.openxmlformats.org/officeDocument/2006/relationships/hyperlink" Target="https://cites.org/sites/default/files/documents/SC/81/agenda/E-SC81-30.pdf" TargetMode="External"/><Relationship Id="rId44" Type="http://schemas.openxmlformats.org/officeDocument/2006/relationships/hyperlink" Target="https://cites.org/sites/default/files/documents/SC/81/agenda/E-SC81-37-03.pdf" TargetMode="External"/><Relationship Id="rId52" Type="http://schemas.openxmlformats.org/officeDocument/2006/relationships/hyperlink" Target="https://cites.org/sites/default/files/documents/SC/81/agenda/E-SC81-51.pdf" TargetMode="External"/><Relationship Id="rId60" Type="http://schemas.openxmlformats.org/officeDocument/2006/relationships/hyperlink" Target="https://cites.org/sites/default/files/documents/SC/81/agenda/E-SC81-57.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lieberman@wcs.org" TargetMode="External"/><Relationship Id="rId13" Type="http://schemas.openxmlformats.org/officeDocument/2006/relationships/hyperlink" Target="https://cites.org/sites/default/files/documents/SC/81/agenda/E-SC81-13-02.pdf" TargetMode="External"/><Relationship Id="rId18" Type="http://schemas.openxmlformats.org/officeDocument/2006/relationships/hyperlink" Target="https://www.woah.org/app/uploads/2024/05/wildlife-trade-guidelines.pdf" TargetMode="External"/><Relationship Id="rId39" Type="http://schemas.openxmlformats.org/officeDocument/2006/relationships/hyperlink" Target="https://cites.org/sites/default/files/documents/SC/81/agenda/E-SC81-34-0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848A1-2320-EC4E-8467-ACCBE09D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10966</Words>
  <Characters>62509</Characters>
  <Application>Microsoft Office Word</Application>
  <DocSecurity>0</DocSecurity>
  <Lines>520</Lines>
  <Paragraphs>146</Paragraphs>
  <ScaleCrop>false</ScaleCrop>
  <Company/>
  <LinksUpToDate>false</LinksUpToDate>
  <CharactersWithSpaces>73329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2</revision>
  <dcterms:created xsi:type="dcterms:W3CDTF">2026-10-11T14:07:00.0000000Z</dcterms:created>
  <dcterms:modified xsi:type="dcterms:W3CDTF">2026-10-11T14:07:00.0000000Z</dcterms:modified>
  <keywords>, docId:23B32D6B0AB590768CEC6AE7FEC2682D</keywords>
</coreProperties>
</file>