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9C0A0D" w:rsidRDefault="009F68D8" w14:paraId="3516FAC1" w14:textId="18F36CDC">
      <w:pPr>
        <w:shd w:val="clear" w:color="auto" w:fill="FFFFFF"/>
        <w:spacing w:line="240" w:lineRule="auto"/>
        <w:rPr>
          <w:rFonts w:ascii="Twentieth Century" w:hAnsi="Twentieth Century" w:eastAsia="Twentieth Century" w:cs="Twentieth Century"/>
          <w:sz w:val="32"/>
          <w:szCs w:val="32"/>
          <w:shd w:val="clear" w:color="auto" w:fill="C6C6C6"/>
        </w:rPr>
      </w:pPr>
      <w:r>
        <w:rPr>
          <w:noProof/>
        </w:rPr>
        <w:drawing>
          <wp:anchor distT="0" distB="0" distL="114300" distR="114300" simplePos="0" relativeHeight="251659264" behindDoc="0" locked="0" layoutInCell="1" hidden="0" allowOverlap="1" wp14:editId="4EA7450E" wp14:anchorId="4E76EB11">
            <wp:simplePos x="0" y="0"/>
            <wp:positionH relativeFrom="column">
              <wp:posOffset>3973286</wp:posOffset>
            </wp:positionH>
            <wp:positionV relativeFrom="paragraph">
              <wp:posOffset>-141514</wp:posOffset>
            </wp:positionV>
            <wp:extent cx="1815465" cy="64751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815465" cy="647510"/>
                    </a:xfrm>
                    <a:prstGeom prst="rect">
                      <a:avLst/>
                    </a:prstGeom>
                    <a:ln/>
                  </pic:spPr>
                </pic:pic>
              </a:graphicData>
            </a:graphic>
            <wp14:sizeRelV relativeFrom="margin">
              <wp14:pctHeight>0</wp14:pctHeight>
            </wp14:sizeRelV>
          </wp:anchor>
        </w:drawing>
      </w:r>
      <w:r w:rsidR="00000000">
        <w:rPr>
          <w:rFonts w:ascii="Twentieth Century" w:hAnsi="Twentieth Century" w:eastAsia="Twentieth Century" w:cs="Twentieth Century"/>
          <w:b/>
          <w:bCs/>
          <w:sz w:val="32"/>
          <w:szCs w:val="32"/>
        </w:rPr>
        <w:t xml:space="preserve">Рекомендации WCS для 17-й сессии Конференции участников Конвенции о биологическом разнообразии (CBD CoP17) </w:t>
      </w:r>
    </w:p>
    <w:p w:rsidR="009C0A0D" w:rsidRDefault="009C0A0D" w14:paraId="4D9E9E9F" w14:textId="77777777">
      <w:pPr>
        <w:shd w:val="clear" w:color="auto" w:fill="FFFFFF"/>
        <w:spacing w:line="240" w:lineRule="auto"/>
        <w:rPr>
          <w:rFonts w:ascii="Twentieth Century" w:hAnsi="Twentieth Century" w:eastAsia="Twentieth Century" w:cs="Twentieth Century"/>
          <w:b/>
          <w:bCs/>
          <w:color w:val="B7B7B7"/>
          <w:sz w:val="2"/>
          <w:szCs w:val="2"/>
        </w:rPr>
      </w:pPr>
    </w:p>
    <w:p w:rsidR="009C0A0D" w:rsidRDefault="00000000" w14:paraId="593811CD" w14:textId="77777777">
      <w:pPr>
        <w:shd w:val="clear" w:color="auto" w:fill="FFFFFF"/>
        <w:spacing w:line="240" w:lineRule="auto"/>
        <w:rPr>
          <w:rFonts w:ascii="Twentieth Century" w:hAnsi="Twentieth Century" w:eastAsia="Twentieth Century" w:cs="Twentieth Century"/>
          <w:b/>
          <w:bCs/>
          <w:color w:val="B7B7B7"/>
          <w:sz w:val="26"/>
          <w:szCs w:val="26"/>
        </w:rPr>
      </w:pPr>
      <w:r>
        <w:rPr>
          <w:rFonts w:ascii="Twentieth Century" w:hAnsi="Twentieth Century" w:eastAsia="Twentieth Century" w:cs="Twentieth Century"/>
          <w:b/>
          <w:bCs/>
          <w:color w:val="B7B7B7"/>
          <w:sz w:val="26"/>
          <w:szCs w:val="26"/>
        </w:rPr>
        <w:t xml:space="preserve">Ереван, Армения, 19–30 октября 2026 г.</w:t>
      </w:r>
    </w:p>
    <w:p w:rsidR="009C0A0D" w:rsidRDefault="009C0A0D" w14:paraId="570FCFB8"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9C0A0D" w14:paraId="14A0B56A"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9C0A0D" w14:paraId="745C68BD"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000000" w14:paraId="182B1492" w14:textId="77777777">
      <w:pPr>
        <w:shd w:val="clear" w:color="auto" w:fill="FFFFFF"/>
        <w:spacing w:line="240" w:lineRule="auto"/>
        <w:rPr>
          <w:rFonts w:ascii="Twentieth Century" w:hAnsi="Twentieth Century" w:eastAsia="Twentieth Century" w:cs="Twentieth Century"/>
          <w:i/>
          <w:iCs/>
          <w:sz w:val="24"/>
          <w:szCs w:val="24"/>
        </w:rPr>
      </w:pPr>
      <w:hyperlink r:id="rId8">
        <w:r>
          <w:rPr>
            <w:rFonts w:ascii="Twentieth Century" w:hAnsi="Twentieth Century" w:eastAsia="Twentieth Century" w:cs="Twentieth Century"/>
            <w:i/>
            <w:iCs/>
            <w:color w:val="1155CC"/>
            <w:sz w:val="24"/>
            <w:szCs w:val="24"/>
            <w:u w:val="single"/>
          </w:rPr>
          <w:t xml:space="preserve">WCS</w:t>
        </w:r>
      </w:hyperlink>
      <w:r>
        <w:rPr>
          <w:rFonts w:ascii="Twentieth Century" w:hAnsi="Twentieth Century" w:eastAsia="Twentieth Century" w:cs="Twentieth Century"/>
          <w:i/>
          <w:iCs/>
          <w:sz w:val="24"/>
          <w:szCs w:val="24"/>
        </w:rPr>
        <w:t xml:space="preserve"> подготовит дополнительные обзорные материалы, освещающие наше участие в 17-й сессии Конференции сторон Конвенции о биологическом разнообразии (CBD CoP17). Настоящий документ конкретно касается текста, который будет обсуждаться Сторонами в рамках официальной повестки дня. </w:t>
      </w:r>
      <w:r>
        <w:rPr>
          <w:rFonts w:ascii="Twentieth Century" w:hAnsi="Twentieth Century" w:eastAsia="Twentieth Century" w:cs="Twentieth Century"/>
          <w:i/>
          <w:iCs/>
          <w:sz w:val="24"/>
          <w:szCs w:val="24"/>
        </w:rPr>
        <w:t xml:space="preserve">По вопросам, касающимся этих рекомендаций, </w:t>
      </w:r>
      <w:r>
        <w:rPr>
          <w:rFonts w:ascii="Twentieth Century" w:hAnsi="Twentieth Century" w:eastAsia="Twentieth Century" w:cs="Twentieth Century"/>
          <w:i/>
          <w:iCs/>
          <w:sz w:val="24"/>
          <w:szCs w:val="24"/>
        </w:rPr>
        <w:t xml:space="preserve">просьба обращаться к Альфреду ДеГеммису (</w:t>
      </w:r>
      <w:hyperlink r:id="rId9">
        <w:r>
          <w:rPr>
            <w:rFonts w:ascii="Twentieth Century" w:hAnsi="Twentieth Century" w:eastAsia="Twentieth Century" w:cs="Twentieth Century"/>
            <w:i/>
            <w:iCs/>
            <w:color w:val="1155CC"/>
            <w:sz w:val="24"/>
            <w:szCs w:val="24"/>
            <w:u w:val="single"/>
          </w:rPr>
          <w:t>adegemmis@wcs.org</w:t>
        </w:r>
      </w:hyperlink>
      <w:r>
        <w:rPr>
          <w:rFonts w:ascii="Twentieth Century" w:hAnsi="Twentieth Century" w:eastAsia="Twentieth Century" w:cs="Twentieth Century"/>
          <w:i/>
          <w:iCs/>
          <w:sz w:val="24"/>
          <w:szCs w:val="24"/>
        </w:rPr>
        <w:t xml:space="preserve"> ). </w:t>
      </w:r>
    </w:p>
    <w:p w:rsidR="009C0A0D" w:rsidRDefault="009C0A0D" w14:paraId="47C0ECE5"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4F4CEE73"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Приведенные ниже комментарии соответствуют общим приоритетам, изложенным в нашем одностраничном резюме. </w:t>
      </w:r>
    </w:p>
    <w:p w:rsidR="009C0A0D" w:rsidRDefault="00000000" w14:paraId="556482C6"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0BF9CD56"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094702D5"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b/>
          <w:bCs/>
          <w:sz w:val="24"/>
          <w:szCs w:val="24"/>
        </w:rPr>
        <w:t xml:space="preserve">Быстрые ссылки, основанные на повестке дня CoP17:  </w:t>
      </w:r>
    </w:p>
    <w:p w:rsidR="009C0A0D" w:rsidRDefault="00000000" w14:paraId="04446DC3"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50339726" w14:textId="77777777">
      <w:pPr>
        <w:shd w:val="clear" w:color="auto" w:fill="FFFFFF"/>
        <w:spacing w:line="240" w:lineRule="auto"/>
        <w:ind w:start="180"/>
        <w:rPr>
          <w:rFonts w:ascii="Twentieth Century" w:hAnsi="Twentieth Century" w:eastAsia="Twentieth Century" w:cs="Twentieth Century"/>
          <w:color w:val="0070C0"/>
          <w:sz w:val="24"/>
          <w:szCs w:val="24"/>
        </w:rPr>
      </w:pPr>
      <w:r>
        <w:rPr>
          <w:rFonts w:ascii="Twentieth Century" w:hAnsi="Twentieth Century" w:eastAsia="Twentieth Century" w:cs="Twentieth Century"/>
          <w:color w:val="0070C0"/>
          <w:sz w:val="24"/>
          <w:szCs w:val="24"/>
        </w:rPr>
        <w:t xml:space="preserve">7: </w:t>
      </w:r>
      <w:r>
        <w:rPr>
          <w:rFonts w:ascii="Twentieth Century" w:hAnsi="Twentieth Century" w:eastAsia="Twentieth Century" w:cs="Twentieth Century"/>
          <w:color w:val="0070C0"/>
          <w:sz w:val="24"/>
          <w:szCs w:val="24"/>
        </w:rPr>
        <w:tab/>
      </w:r>
      <w:hyperlink w:anchor="_q7ojxhr9e27g">
        <w:r>
          <w:rPr>
            <w:rFonts w:ascii="Twentieth Century" w:hAnsi="Twentieth Century" w:eastAsia="Twentieth Century" w:cs="Twentieth Century"/>
            <w:color w:val="0070C0"/>
            <w:sz w:val="24"/>
            <w:szCs w:val="24"/>
          </w:rPr>
          <w:t xml:space="preserve">Администрация Конвенции о биологическом разнообразии</w:t>
        </w:r>
      </w:hyperlink>
    </w:p>
    <w:p w:rsidR="009C0A0D" w:rsidRDefault="00000000" w14:paraId="663A6751"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aazxyk9a8tva">
        <w:r>
          <w:rPr>
            <w:rFonts w:ascii="Twentieth Century" w:hAnsi="Twentieth Century" w:eastAsia="Twentieth Century" w:cs="Twentieth Century"/>
            <w:color w:val="0070C0"/>
            <w:sz w:val="24"/>
            <w:szCs w:val="24"/>
          </w:rPr>
          <w:t xml:space="preserve">8a:</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Мобилизация ресурсов </w:t>
        </w:r>
      </w:hyperlink>
    </w:p>
    <w:p w:rsidR="009C0A0D" w:rsidRDefault="00000000" w14:paraId="699A7872" w14:textId="77777777">
      <w:pPr>
        <w:shd w:val="clear" w:color="auto" w:fill="FFFFFF"/>
        <w:spacing w:line="240" w:lineRule="auto"/>
        <w:ind w:start="180"/>
        <w:rPr>
          <w:rFonts w:ascii="Twentieth Century" w:hAnsi="Twentieth Century" w:eastAsia="Twentieth Century" w:cs="Twentieth Century"/>
          <w:color w:val="0070C0"/>
          <w:sz w:val="24"/>
          <w:szCs w:val="24"/>
        </w:rPr>
      </w:pPr>
      <w:hyperlink w:anchor="_aazxyk9a8tva">
        <w:r>
          <w:rPr>
            <w:rFonts w:ascii="Twentieth Century" w:hAnsi="Twentieth Century" w:eastAsia="Twentieth Century" w:cs="Twentieth Century"/>
            <w:color w:val="0070C0"/>
            <w:sz w:val="24"/>
            <w:szCs w:val="24"/>
          </w:rPr>
          <w:t xml:space="preserve">8а:</w:t>
        </w:r>
        <w:r>
          <w:rPr>
            <w:rFonts w:ascii="Twentieth Century" w:hAnsi="Twentieth Century" w:eastAsia="Twentieth Century" w:cs="Twentieth Century"/>
            <w:color w:val="0070C0"/>
            <w:sz w:val="24"/>
            <w:szCs w:val="24"/>
          </w:rPr>
          <w:tab/>
        </w:r>
      </w:hyperlink>
      <w:hyperlink w:anchor="_b9ymn1mvtlvf">
        <w:r>
          <w:rPr>
            <w:rFonts w:ascii="Twentieth Century" w:hAnsi="Twentieth Century" w:eastAsia="Twentieth Century" w:cs="Twentieth Century"/>
            <w:color w:val="0070C0"/>
            <w:sz w:val="24"/>
            <w:szCs w:val="24"/>
          </w:rPr>
          <w:t xml:space="preserve">Финансовый механизм</w:t>
        </w:r>
      </w:hyperlink>
    </w:p>
    <w:p w:rsidR="009C0A0D" w:rsidRDefault="00000000" w14:paraId="660BAE70" w14:textId="77777777">
      <w:pPr>
        <w:shd w:val="clear" w:color="auto" w:fill="FFFFFF"/>
        <w:spacing w:line="240" w:lineRule="auto"/>
        <w:ind w:start="180"/>
        <w:rPr>
          <w:rFonts w:ascii="Twentieth Century" w:hAnsi="Twentieth Century" w:eastAsia="Twentieth Century" w:cs="Twentieth Century"/>
          <w:color w:val="0070C0"/>
          <w:sz w:val="24"/>
          <w:szCs w:val="24"/>
        </w:rPr>
      </w:pPr>
      <w:hyperlink w:anchor="_bd98lc52bwrf">
        <w:r>
          <w:rPr>
            <w:rFonts w:ascii="Twentieth Century" w:hAnsi="Twentieth Century" w:eastAsia="Twentieth Century" w:cs="Twentieth Century"/>
            <w:color w:val="0070C0"/>
            <w:sz w:val="24"/>
            <w:szCs w:val="24"/>
          </w:rPr>
          <w:t xml:space="preserve">9a: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Глобальный обзор коллективного прогресса в реализации KM-GBF</w:t>
        </w:r>
      </w:hyperlink>
    </w:p>
    <w:p w:rsidR="009C0A0D" w:rsidRDefault="00000000" w14:paraId="692FF6A5"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fi9rlyfsjwv0">
        <w:r>
          <w:rPr>
            <w:rFonts w:ascii="Twentieth Century" w:hAnsi="Twentieth Century" w:eastAsia="Twentieth Century" w:cs="Twentieth Century"/>
            <w:color w:val="0070C0"/>
            <w:sz w:val="24"/>
            <w:szCs w:val="24"/>
          </w:rPr>
          <w:t xml:space="preserve">9b: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Система мониторинга KM-GBF</w:t>
        </w:r>
      </w:hyperlink>
      <w:hyperlink w:anchor="_fi9rlyfsjwv0">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701610B9"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8e8bffr3p28l">
        <w:r>
          <w:rPr>
            <w:rFonts w:ascii="Twentieth Century" w:hAnsi="Twentieth Century" w:eastAsia="Twentieth Century" w:cs="Twentieth Century"/>
            <w:color w:val="0070C0"/>
            <w:sz w:val="24"/>
            <w:szCs w:val="24"/>
          </w:rPr>
          <w:t xml:space="preserve">13: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Сотрудничество с международными организациями и другими конвенциями</w:t>
        </w:r>
      </w:hyperlink>
      <w:hyperlink w:anchor="_8e8bffr3p28l">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198C81EB"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bvf9ngcc6ed0">
        <w:r>
          <w:rPr>
            <w:rFonts w:ascii="Twentieth Century" w:hAnsi="Twentieth Century" w:eastAsia="Twentieth Century" w:cs="Twentieth Century"/>
            <w:color w:val="0070C0"/>
            <w:sz w:val="24"/>
            <w:szCs w:val="24"/>
          </w:rPr>
          <w:t xml:space="preserve">17a: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Стратегический обзор и анализ </w:t>
        </w:r>
        <w:r>
          <w:rPr>
            <w:rFonts w:ascii="Twentieth Century" w:hAnsi="Twentieth Century" w:eastAsia="Twentieth Century" w:cs="Twentieth Century"/>
            <w:color w:val="0070C0"/>
            <w:sz w:val="24"/>
            <w:szCs w:val="24"/>
          </w:rPr>
          <w:t xml:space="preserve">программ </w:t>
        </w:r>
        <w:r>
          <w:rPr>
            <w:rFonts w:ascii="Twentieth Century" w:hAnsi="Twentieth Century" w:eastAsia="Twentieth Century" w:cs="Twentieth Century"/>
            <w:color w:val="0070C0"/>
            <w:sz w:val="24"/>
            <w:szCs w:val="24"/>
          </w:rPr>
          <w:t xml:space="preserve">работы в рамках КБР</w:t>
        </w:r>
      </w:hyperlink>
      <w:hyperlink w:anchor="_bvf9ngcc6ed0">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3E60DFD3"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55d2dkya2trc">
        <w:r>
          <w:rPr>
            <w:rFonts w:ascii="Twentieth Century" w:hAnsi="Twentieth Century" w:eastAsia="Twentieth Century" w:cs="Twentieth Century"/>
            <w:color w:val="0070C0"/>
            <w:sz w:val="24"/>
            <w:szCs w:val="24"/>
          </w:rPr>
          <w:t xml:space="preserve">17c: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Стратегический обзор и обновление </w:t>
        </w:r>
        <w:r>
          <w:rPr>
            <w:rFonts w:ascii="Twentieth Century" w:hAnsi="Twentieth Century" w:eastAsia="Twentieth Century" w:cs="Twentieth Century"/>
            <w:color w:val="0070C0"/>
            <w:sz w:val="24"/>
            <w:szCs w:val="24"/>
          </w:rPr>
          <w:t xml:space="preserve">программы </w:t>
        </w:r>
        <w:r>
          <w:rPr>
            <w:rFonts w:ascii="Twentieth Century" w:hAnsi="Twentieth Century" w:eastAsia="Twentieth Century" w:cs="Twentieth Century"/>
            <w:color w:val="0070C0"/>
            <w:sz w:val="24"/>
            <w:szCs w:val="24"/>
          </w:rPr>
          <w:t xml:space="preserve">работы по охраняемым территориям</w:t>
        </w:r>
      </w:hyperlink>
      <w:hyperlink w:anchor="_55d2dkya2trc">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2577781F"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fqnycii1cmkc">
        <w:r>
          <w:rPr>
            <w:rFonts w:ascii="Twentieth Century" w:hAnsi="Twentieth Century" w:eastAsia="Twentieth Century" w:cs="Twentieth Century"/>
            <w:color w:val="0070C0"/>
            <w:sz w:val="24"/>
            <w:szCs w:val="24"/>
          </w:rPr>
          <w:t xml:space="preserve">17d: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Направления возможной дальнейшей работы в контексте Рамочной программы</w:t>
        </w:r>
      </w:hyperlink>
      <w:hyperlink w:anchor="_fqnycii1cmkc">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73480843"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grh24veb2skd">
        <w:r>
          <w:rPr>
            <w:rFonts w:ascii="Twentieth Century" w:hAnsi="Twentieth Century" w:eastAsia="Twentieth Century" w:cs="Twentieth Century"/>
            <w:color w:val="0070C0"/>
            <w:sz w:val="24"/>
            <w:szCs w:val="24"/>
          </w:rPr>
          <w:t xml:space="preserve">18a: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Биоразнообразие и изменение климата</w:t>
        </w:r>
      </w:hyperlink>
      <w:hyperlink w:anchor="_grh24veb2skd">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2D71EBBA"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k6m2qky3qvb7">
        <w:r>
          <w:rPr>
            <w:rFonts w:ascii="Twentieth Century" w:hAnsi="Twentieth Century" w:eastAsia="Twentieth Century" w:cs="Twentieth Century"/>
            <w:color w:val="0070C0"/>
            <w:sz w:val="24"/>
            <w:szCs w:val="24"/>
          </w:rPr>
          <w:t xml:space="preserve">18b: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Устойчивое управление дикой природой</w:t>
        </w:r>
      </w:hyperlink>
      <w:hyperlink w:anchor="_k6m2qky3qvb7">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066CFBF1"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36f59doifjkz">
        <w:r>
          <w:rPr>
            <w:rFonts w:ascii="Twentieth Century" w:hAnsi="Twentieth Century" w:eastAsia="Twentieth Century" w:cs="Twentieth Century"/>
            <w:color w:val="0070C0"/>
            <w:sz w:val="24"/>
            <w:szCs w:val="24"/>
          </w:rPr>
          <w:t xml:space="preserve">18c: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Морское и прибрежное биоразнообразие и биоразнообразие островов</w:t>
        </w:r>
      </w:hyperlink>
      <w:hyperlink w:anchor="_36f59doifjkz">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1E09F6F6" w14:textId="77777777">
      <w:pPr>
        <w:shd w:val="clear" w:color="auto" w:fill="FFFFFF"/>
        <w:spacing w:line="240" w:lineRule="auto"/>
        <w:ind w:start="180"/>
        <w:rPr>
          <w:rFonts w:ascii="Twentieth Century" w:hAnsi="Twentieth Century" w:eastAsia="Twentieth Century" w:cs="Twentieth Century"/>
          <w:color w:val="0070C0"/>
          <w:sz w:val="23"/>
          <w:szCs w:val="23"/>
          <w:shd w:val="clear" w:color="auto" w:fill="C6C6C6"/>
        </w:rPr>
      </w:pPr>
      <w:hyperlink w:anchor="_wgymsuqvv2tw">
        <w:r>
          <w:rPr>
            <w:rFonts w:ascii="Twentieth Century" w:hAnsi="Twentieth Century" w:eastAsia="Twentieth Century" w:cs="Twentieth Century"/>
            <w:color w:val="0070C0"/>
            <w:sz w:val="24"/>
            <w:szCs w:val="24"/>
          </w:rPr>
          <w:t xml:space="preserve">18f:</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Биоразнообразие и здоровье </w:t>
        </w:r>
      </w:hyperlink>
      <w:hyperlink w:anchor="_wgymsuqvv2tw">
        <w:r>
          <w:rPr>
            <w:rFonts w:ascii="Twentieth Century" w:hAnsi="Twentieth Century" w:eastAsia="Twentieth Century" w:cs="Twentieth Century"/>
            <w:color w:val="0070C0"/>
            <w:sz w:val="23"/>
            <w:szCs w:val="23"/>
            <w:shd w:val="clear" w:color="auto" w:fill="C6C6C6"/>
          </w:rPr>
          <w:t xml:space="preserve"> </w:t>
        </w:r>
      </w:hyperlink>
    </w:p>
    <w:p w:rsidR="009C0A0D" w:rsidRDefault="00000000" w14:paraId="7F540DDC" w14:textId="77777777">
      <w:pPr>
        <w:shd w:val="clear" w:color="auto" w:fill="FFFFFF"/>
        <w:spacing w:line="240" w:lineRule="auto"/>
        <w:rPr>
          <w:rFonts w:ascii="Twentieth Century" w:hAnsi="Twentieth Century" w:eastAsia="Twentieth Century" w:cs="Twentieth Century"/>
          <w:sz w:val="20"/>
          <w:szCs w:val="20"/>
          <w:shd w:val="clear" w:color="auto" w:fill="C6C6C6"/>
        </w:rPr>
      </w:pPr>
      <w:r>
        <w:rPr>
          <w:rFonts w:ascii="Twentieth Century" w:hAnsi="Twentieth Century" w:eastAsia="Twentieth Century" w:cs="Twentieth Century"/>
          <w:sz w:val="20"/>
          <w:szCs w:val="20"/>
          <w:shd w:val="clear" w:color="auto" w:fill="C6C6C6"/>
        </w:rPr>
        <w:t xml:space="preserve"> </w:t>
      </w:r>
    </w:p>
    <w:p w:rsidR="009C0A0D" w:rsidRDefault="00000000" w14:paraId="56A4B099" w14:textId="77777777">
      <w:pPr>
        <w:shd w:val="clear" w:color="auto" w:fill="FFFFFF"/>
        <w:spacing w:line="240" w:lineRule="auto"/>
        <w:rPr>
          <w:rFonts w:ascii="Twentieth Century" w:hAnsi="Twentieth Century" w:eastAsia="Twentieth Century" w:cs="Twentieth Century"/>
          <w:sz w:val="20"/>
          <w:szCs w:val="20"/>
          <w:shd w:val="clear" w:color="auto" w:fill="C6C6C6"/>
        </w:rPr>
      </w:pPr>
      <w:r>
        <w:rPr>
          <w:rFonts w:ascii="Twentieth Century" w:hAnsi="Twentieth Century" w:eastAsia="Twentieth Century" w:cs="Twentieth Century"/>
          <w:sz w:val="20"/>
          <w:szCs w:val="20"/>
        </w:rPr>
        <w:t xml:space="preserve">--------- </w:t>
      </w:r>
    </w:p>
    <w:p w:rsidR="009C0A0D" w:rsidRDefault="00000000" w14:paraId="0717CB35"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9C0A0D" w14:paraId="36DB59C4"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180F7FCF" w14:textId="77777777">
      <w:pPr>
        <w:pStyle w:val="Heading1"/>
      </w:pPr>
      <w:bookmarkStart w:name="_q7ojxhr9e27g" w:colFirst="0" w:colLast="0" w:id="0"/>
      <w:bookmarkEnd w:id="0"/>
      <w:r>
        <w:t xml:space="preserve">Пункт 7 повестки дня: «Административное управление Конвенцией о биологическом разнообразии…»</w:t>
      </w:r>
    </w:p>
    <w:p w:rsidR="009C0A0D" w:rsidRDefault="00000000" w14:paraId="25A6E63E"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Текущий проект решения: </w:t>
      </w:r>
      <w:hyperlink r:id="rId10">
        <w:r>
          <w:rPr>
            <w:rFonts w:ascii="Twentieth Century" w:hAnsi="Twentieth Century" w:eastAsia="Twentieth Century" w:cs="Twentieth Century"/>
            <w:i/>
            <w:iCs/>
            <w:color w:val="1155CC"/>
            <w:sz w:val="24"/>
            <w:szCs w:val="24"/>
            <w:u w:val="single"/>
          </w:rPr>
          <w:t xml:space="preserve">CBD/COP/17/4</w:t>
        </w:r>
      </w:hyperlink>
    </w:p>
    <w:p w:rsidR="009C0A0D" w:rsidRDefault="009C0A0D" w14:paraId="0EDB9B4A"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19E1134B"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Что касается проекта решения КС-17, краткая замечание:</w:t>
      </w:r>
    </w:p>
    <w:p w:rsidR="009C0A0D" w:rsidRDefault="009C0A0D" w14:paraId="6AADDA91"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2AA6E0F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sz w:val="24"/>
          <w:szCs w:val="24"/>
        </w:rPr>
        <w:t xml:space="preserve">Мы рекомендуем Сторонам согласовать график проведения трех межсессионных заседаний — по одному для каждого вспомогательного органа — с целью сокращения операционных затрат для Секретариата, Сторон и наблюдателей.</w:t>
      </w:r>
    </w:p>
    <w:p w:rsidR="009C0A0D" w:rsidRDefault="009C0A0D" w14:paraId="5F1139F9"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2E9E1EB" w14:textId="77777777">
      <w:pPr>
        <w:pStyle w:val="Heading1"/>
        <w:rPr>
          <w:shd w:val="clear" w:color="auto" w:fill="C6C6C6"/>
        </w:rPr>
      </w:pPr>
      <w:bookmarkStart w:name="_aazxyk9a8tva" w:colFirst="0" w:colLast="0" w:id="1"/>
      <w:bookmarkEnd w:id="1"/>
      <w:r>
        <w:t xml:space="preserve">Пункт 8а повестки дня: «Мобилизация ресурсов» </w:t>
      </w:r>
    </w:p>
    <w:p w:rsidR="009C0A0D" w:rsidRDefault="00000000" w14:paraId="518CD3C1"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Текущий проект решения: </w:t>
      </w:r>
      <w:hyperlink r:id="rId11">
        <w:r>
          <w:rPr>
            <w:rFonts w:ascii="Twentieth Century" w:hAnsi="Twentieth Century" w:eastAsia="Twentieth Century" w:cs="Twentieth Century"/>
            <w:i/>
            <w:iCs/>
            <w:color w:val="1155CC"/>
            <w:sz w:val="24"/>
            <w:szCs w:val="24"/>
            <w:u w:val="single"/>
          </w:rPr>
          <w:t xml:space="preserve">SBI/REC/7/2</w:t>
        </w:r>
      </w:hyperlink>
    </w:p>
    <w:p w:rsidR="009C0A0D" w:rsidRDefault="009C0A0D" w14:paraId="22A475B9" w14:textId="77777777">
      <w:pPr>
        <w:spacing w:line="240" w:lineRule="auto"/>
        <w:rPr>
          <w:rFonts w:ascii="Twentieth Century" w:hAnsi="Twentieth Century" w:eastAsia="Twentieth Century" w:cs="Twentieth Century"/>
          <w:sz w:val="20"/>
          <w:szCs w:val="20"/>
          <w:shd w:val="clear" w:color="auto" w:fill="C6C6C6"/>
        </w:rPr>
      </w:pPr>
    </w:p>
    <w:p w:rsidR="009C0A0D" w:rsidRDefault="00000000" w14:paraId="1A44EF2F"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lastRenderedPageBreak/>
      </w:r>
      <w:r>
        <w:rPr>
          <w:rFonts w:ascii="Twentieth Century" w:hAnsi="Twentieth Century" w:eastAsia="Twentieth Century" w:cs="Twentieth Century"/>
          <w:sz w:val="24"/>
          <w:szCs w:val="24"/>
        </w:rPr>
        <w:t xml:space="preserve">Что касается проекта решения КС-17, мы рекомендуем Сторонам: </w:t>
      </w:r>
    </w:p>
    <w:p w:rsidR="009C0A0D" w:rsidRDefault="009C0A0D" w14:paraId="6198A1A8" w14:textId="77777777">
      <w:pPr>
        <w:spacing w:line="240" w:lineRule="auto"/>
        <w:rPr>
          <w:rFonts w:ascii="Twentieth Century" w:hAnsi="Twentieth Century" w:eastAsia="Twentieth Century" w:cs="Twentieth Century"/>
          <w:sz w:val="24"/>
          <w:szCs w:val="24"/>
        </w:rPr>
      </w:pPr>
    </w:p>
    <w:p w:rsidR="009C0A0D" w:rsidRDefault="00000000" w14:paraId="377EA41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[удалить скобки вокруг] текст в пункте 2, в котором отмечается долгосрочный исторический рост потоков финансирования, связанных с биоразнообразием, но признается, что в настоящее время международное государственное финансирование остается недостаточным. </w:t>
      </w:r>
      <w:r>
        <w:rPr>
          <w:rFonts w:ascii="Twentieth Century" w:hAnsi="Twentieth Century" w:eastAsia="Twentieth Century" w:cs="Twentieth Century"/>
          <w:sz w:val="24"/>
          <w:szCs w:val="24"/>
        </w:rPr>
        <w:t xml:space="preserve">Текущие уровни финансирования остаются значительно ниже того, что требуется для достижения целей и целевых показателей </w:t>
      </w:r>
      <w:r>
        <w:rPr>
          <w:rFonts w:ascii="Twentieth Century" w:hAnsi="Twentieth Century" w:eastAsia="Twentieth Century" w:cs="Twentieth Century"/>
          <w:sz w:val="24"/>
          <w:szCs w:val="24"/>
        </w:rPr>
        <w:t xml:space="preserve">«Механизма знаний и глобального фонда биоразнообразия» (KM-GBF)</w:t>
      </w:r>
      <w:r>
        <w:rPr>
          <w:rFonts w:ascii="Twentieth Century" w:hAnsi="Twentieth Century" w:eastAsia="Twentieth Century" w:cs="Twentieth Century"/>
          <w:sz w:val="24"/>
          <w:szCs w:val="24"/>
        </w:rPr>
        <w:t xml:space="preserve">, и этот дефицит особенно остро ощущается в наименее развитых странах и малых островных развивающихся государствах, которые являются хранилищами биоразнообразия, имеющего глобальное значение. Устойчивое увеличение потоков государственного финансирования не должно препятствовать принятию Конференцией сторон других призывов, касающихся всех стран, по корректировке политических и финансовых стимулов (см. ниже), мобилизации новых внутренних финансовых ресурсов для выхода за рамки проектного цикла, а также привлечению новых и дополнительных финансовых средств частного сектора посредством программ, основанных на фактических данных. </w:t>
      </w:r>
    </w:p>
    <w:p w:rsidR="009C0A0D" w:rsidRDefault="00000000" w14:paraId="1069DC14"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563C1"/>
          <w:sz w:val="24"/>
          <w:szCs w:val="24"/>
        </w:rPr>
        <w:t xml:space="preserve">Включить </w:t>
      </w:r>
      <w:r>
        <w:rPr>
          <w:rFonts w:ascii="Twentieth Century" w:hAnsi="Twentieth Century" w:eastAsia="Twentieth Century" w:cs="Twentieth Century"/>
          <w:color w:val="0563C1"/>
          <w:sz w:val="24"/>
          <w:szCs w:val="24"/>
        </w:rPr>
        <w:t xml:space="preserve">в настоящее решение текст, касающийся Целевого показателя 18, в котором содержался бы призыв к реформированию, переориентации и устранению вредных стимулов, включая субсидии, наносящие ущерб окружающей среде.</w:t>
      </w:r>
      <w:r>
        <w:rPr>
          <w:rFonts w:ascii="Twentieth Century" w:hAnsi="Twentieth Century" w:eastAsia="Twentieth Century" w:cs="Twentieth Century"/>
          <w:sz w:val="24"/>
          <w:szCs w:val="24"/>
        </w:rPr>
        <w:t xml:space="preserve"> Государственные расходы, стимулирующие утрату биоразнообразия, зачастую превышают объем инвестиций, направляемых на сохранение и рациональное использование биоразнообразия. Реформирование, переориентация и устранение вредных стимулов, включая субсидии, наносящие ущерб окружающей среде, могут принести существенную пользу за счет снижения давления на природу и одновременного высвобождения государственных ресурсов для инвестиций, благоприятно влияющих на биоразнообразие. Это необходимо подчеркнуть в рамках комплексного пакета мер по мобилизации ресурсов. </w:t>
      </w:r>
    </w:p>
    <w:p w:rsidR="009C0A0D" w:rsidRDefault="00000000" w14:paraId="482C96F3" w14:textId="77777777">
      <w:pPr>
        <w:pStyle w:val="Heading1"/>
        <w:rPr>
          <w:shd w:val="clear" w:color="auto" w:fill="C6C6C6"/>
        </w:rPr>
      </w:pPr>
      <w:bookmarkStart w:name="_b9ymn1mvtlvf" w:colFirst="0" w:colLast="0" w:id="2"/>
      <w:bookmarkEnd w:id="2"/>
      <w:r>
        <w:br/>
      </w:r>
      <w:r>
        <w:t xml:space="preserve">Пункт 8b повестки дня: «Финансовый механизм»</w:t>
      </w:r>
      <w:r>
        <w:rPr>
          <w:shd w:val="clear" w:color="auto" w:fill="C6C6C6"/>
        </w:rPr>
        <w:t xml:space="preserve"> </w:t>
      </w:r>
    </w:p>
    <w:p w:rsidR="009C0A0D" w:rsidRDefault="00000000" w14:paraId="71A7BE24"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Текущий проект решения: </w:t>
      </w:r>
      <w:hyperlink r:id="rId12">
        <w:r>
          <w:rPr>
            <w:rFonts w:ascii="Twentieth Century" w:hAnsi="Twentieth Century" w:eastAsia="Twentieth Century" w:cs="Twentieth Century"/>
            <w:i/>
            <w:iCs/>
            <w:color w:val="1155CC"/>
            <w:sz w:val="24"/>
            <w:szCs w:val="24"/>
            <w:u w:val="single"/>
          </w:rPr>
          <w:t xml:space="preserve">SBI/REC/7/3</w:t>
        </w:r>
      </w:hyperlink>
    </w:p>
    <w:p w:rsidR="009C0A0D" w:rsidRDefault="009C0A0D" w14:paraId="4B36716D" w14:textId="77777777">
      <w:pPr>
        <w:spacing w:line="240" w:lineRule="auto"/>
        <w:rPr>
          <w:rFonts w:ascii="Twentieth Century" w:hAnsi="Twentieth Century" w:eastAsia="Twentieth Century" w:cs="Twentieth Century"/>
          <w:sz w:val="20"/>
          <w:szCs w:val="20"/>
          <w:shd w:val="clear" w:color="auto" w:fill="C6C6C6"/>
        </w:rPr>
      </w:pPr>
    </w:p>
    <w:p w:rsidR="009C0A0D" w:rsidRDefault="00000000" w14:paraId="02AA304D"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Что касается проекта решения Конференции Сторон 17-й сессии, мы рекомендуем Сторонам: </w:t>
      </w:r>
    </w:p>
    <w:p w:rsidR="009C0A0D" w:rsidRDefault="00000000" w14:paraId="560BBB4F"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1B1DAE8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[удалить скобки вокруг] текст в оперативном пункте 11: «содействуя при этом полному и эффективному участию коренных народов и местных общин, женщин и молодежи». </w:t>
      </w:r>
      <w:r>
        <w:rPr>
          <w:rFonts w:ascii="Twentieth Century" w:hAnsi="Twentieth Century" w:eastAsia="Twentieth Century" w:cs="Twentieth Century"/>
          <w:color w:val="242424"/>
          <w:sz w:val="24"/>
          <w:szCs w:val="24"/>
        </w:rPr>
        <w:t xml:space="preserve">В пункте 4(l) решения 16/34 изложена меры по «обеспечению полного, справедливого, инклюзивного, эффективного и учитывающего гендерные аспекты представительства и участия коренных народов и местных общин, женщин и молодежи в процессе принятия решений». </w:t>
      </w:r>
    </w:p>
    <w:p w:rsidR="009C0A0D" w:rsidRDefault="00000000" w14:paraId="5CBD3FF1" w14:textId="77777777">
      <w:pPr>
        <w:numPr>
          <w:ilvl w:val="0"/>
          <w:numId w:val="2"/>
        </w:numPr>
        <w:spacing w:line="240" w:lineRule="auto"/>
        <w:rPr>
          <w:rFonts w:ascii="Twentieth Century" w:hAnsi="Twentieth Century" w:eastAsia="Twentieth Century" w:cs="Twentieth Century"/>
          <w:color w:val="242424"/>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[удалить скобки вокруг] текст в пункте OP12(f) о специальных механизмах прямого доступа. </w:t>
      </w:r>
      <w:r>
        <w:rPr>
          <w:rFonts w:ascii="Twentieth Century" w:hAnsi="Twentieth Century" w:eastAsia="Twentieth Century" w:cs="Twentieth Century"/>
          <w:color w:val="242424"/>
          <w:sz w:val="24"/>
          <w:szCs w:val="24"/>
        </w:rPr>
        <w:t xml:space="preserve">Помимо посреднических организаций, направляющих средства общинам, важно, чтобы ГЭФ содействовал упрощению процедур и оказывал прямую поддержку коренным народам и местным общинам.  Существует расширяющаяся экосистема фондов, возглавляемых представителями коренных народов, и территориальных фондов, которые открыли новые стратегические возможности для доноров и предлагают общинам каналы финансирования, разработанные и управляемые их собственными движениями; однако объем финансирования, поступающего непосредственно этим организациям и территориальным фондам, по-прежнему остается весьма незначительным. </w:t>
      </w:r>
    </w:p>
    <w:p w:rsidR="009C0A0D" w:rsidRDefault="009C0A0D" w14:paraId="634AE4A7" w14:textId="77777777">
      <w:pPr>
        <w:spacing w:line="240" w:lineRule="auto"/>
        <w:ind w:start="720"/>
        <w:rPr>
          <w:rFonts w:ascii="Twentieth Century" w:hAnsi="Twentieth Century" w:eastAsia="Twentieth Century" w:cs="Twentieth Century"/>
          <w:color w:val="242424"/>
          <w:sz w:val="24"/>
          <w:szCs w:val="24"/>
        </w:rPr>
      </w:pPr>
    </w:p>
    <w:p w:rsidR="009C0A0D" w:rsidRDefault="00000000" w14:paraId="4B32CE48" w14:textId="77777777">
      <w:pPr>
        <w:pStyle w:val="Heading1"/>
        <w:rPr>
          <w:shd w:val="clear" w:color="auto" w:fill="C6C6C6"/>
        </w:rPr>
      </w:pPr>
      <w:bookmarkStart w:name="_bd98lc52bwrf" w:colFirst="0" w:colLast="0" w:id="3"/>
      <w:bookmarkEnd w:id="3"/>
      <w:r>
        <w:t xml:space="preserve">Пункт 9а повестки дня: «Планирование,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по биоразнообразию» </w:t>
      </w:r>
    </w:p>
    <w:p w:rsidR="009C0A0D" w:rsidRDefault="00000000" w14:paraId="77208468"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Текущий проект решения: </w:t>
      </w:r>
      <w:hyperlink r:id="rId13">
        <w:r>
          <w:rPr>
            <w:rFonts w:ascii="Twentieth Century" w:hAnsi="Twentieth Century" w:eastAsia="Twentieth Century" w:cs="Twentieth Century"/>
            <w:i/>
            <w:iCs/>
            <w:color w:val="1155CC"/>
            <w:sz w:val="24"/>
            <w:szCs w:val="24"/>
            <w:u w:val="single"/>
          </w:rPr>
          <w:t xml:space="preserve">SBI/REC/7/1</w:t>
        </w:r>
      </w:hyperlink>
      <w:r>
        <w:rPr>
          <w:rFonts w:ascii="Twentieth Century" w:hAnsi="Twentieth Century" w:eastAsia="Twentieth Century" w:cs="Twentieth Century"/>
          <w:i/>
          <w:iCs/>
          <w:sz w:val="24"/>
          <w:szCs w:val="24"/>
        </w:rPr>
        <w:t xml:space="preserve"> [часть A]</w:t>
      </w:r>
    </w:p>
    <w:p w:rsidR="009C0A0D" w:rsidRDefault="009C0A0D" w14:paraId="35848B55"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38E217F7"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Что касается проекта решения КС-17, мы рекомендуем Сторонам: </w:t>
      </w:r>
    </w:p>
    <w:p w:rsidR="009C0A0D" w:rsidRDefault="009C0A0D" w14:paraId="54BE41A3" w14:textId="77777777">
      <w:pPr>
        <w:spacing w:line="240" w:lineRule="auto"/>
        <w:rPr>
          <w:rFonts w:ascii="Twentieth Century" w:hAnsi="Twentieth Century" w:eastAsia="Twentieth Century" w:cs="Twentieth Century"/>
          <w:sz w:val="24"/>
          <w:szCs w:val="24"/>
        </w:rPr>
      </w:pPr>
    </w:p>
    <w:p w:rsidR="009C0A0D" w:rsidRDefault="00000000" w14:paraId="21E8DB11"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[удалить скобки вокруг] текст в пункте 22 (оригинал), в котором Стороны поощряются или призываются расширить сферу действия и охват национальных обязательств, в частности для устранения ключевых пробелов. </w:t>
      </w:r>
      <w:r>
        <w:rPr>
          <w:rFonts w:ascii="Twentieth Century" w:hAnsi="Twentieth Century" w:eastAsia="Twentieth Century" w:cs="Twentieth Century"/>
          <w:sz w:val="24"/>
          <w:szCs w:val="24"/>
        </w:rPr>
        <w:t xml:space="preserve">В тех случаях, когда в Глобальном обзоре отмечены ключевые пробелы в переводе ключевых концепций, заложенных в глобальных целях, таких как предотвращение распространения патогенов в рамках Цели 5, в национальные цели, эта информация может быть полезна для Сторон при предоставлении факультативных/добровольных обновлений национальных целей. Мы приветствуем упоминание — в настоящее время заключенное в скобки — о необходимости устранения существующих пробелов в реализации KM-GBF в морских экосистемах, однако хотели бы сбалансировать это с возможностью устранения других пробелов, выявленных в рамках глобального обзора, но не включенных в краткий перечень целей. </w:t>
      </w:r>
    </w:p>
    <w:p w:rsidR="009C0A0D" w:rsidRDefault="00000000" w14:paraId="7D28CE46"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[удалить скобки вокруг] </w:t>
      </w:r>
      <w:r>
        <w:rPr>
          <w:rFonts w:ascii="Twentieth Century" w:hAnsi="Twentieth Century" w:eastAsia="Twentieth Century" w:cs="Twentieth Century"/>
          <w:color w:val="00B050"/>
          <w:sz w:val="24"/>
          <w:szCs w:val="24"/>
        </w:rPr>
        <w:t xml:space="preserve">текст в ОП39, призывающий Стороны разрабатывать национальные карты экосистем. </w:t>
      </w:r>
      <w:r>
        <w:rPr>
          <w:rFonts w:ascii="Twentieth Century" w:hAnsi="Twentieth Century" w:eastAsia="Twentieth Century" w:cs="Twentieth Century"/>
          <w:sz w:val="24"/>
          <w:szCs w:val="24"/>
        </w:rPr>
        <w:t xml:space="preserve">Экосистемы являются важнейшим проявлением биоразнообразия и обеспечивают четкую связь с политическими форумами за пределами КБР. Мы поддерживаем сохранение текста в скобках в ОП39, который призывает Стороны разрабатывать национальные карты экосистем, на основе которых можно получать или создавать другие данные и анализы. Это также соответствует ключевому посланию A.4 Глобального доклада, в котором говорится, что </w:t>
      </w:r>
      <w:r>
        <w:rPr>
          <w:rFonts w:ascii="Twentieth Century" w:hAnsi="Twentieth Century" w:eastAsia="Twentieth Century" w:cs="Twentieth Century"/>
          <w:i/>
          <w:iCs/>
          <w:sz w:val="24"/>
          <w:szCs w:val="24"/>
        </w:rPr>
        <w:t xml:space="preserve">«пространственное планирование, как это подробно изложено в Цели 1 Рамочной программы..., могло бы стать основой для обеспечения согласованности политики и ее интеграции в основные направления деятельности</w:t>
      </w:r>
      <w:r>
        <w:rPr>
          <w:rFonts w:ascii="Twentieth Century" w:hAnsi="Twentieth Century" w:eastAsia="Twentieth Century" w:cs="Twentieth Century"/>
          <w:sz w:val="24"/>
          <w:szCs w:val="24"/>
        </w:rPr>
        <w:t xml:space="preserve">». Наш опыт оказания поддержки партнерам в Мозамбике в </w:t>
      </w:r>
      <w:hyperlink r:id="rId14">
        <w:r>
          <w:rPr>
            <w:rFonts w:ascii="Twentieth Century" w:hAnsi="Twentieth Century" w:eastAsia="Twentieth Century" w:cs="Twentieth Century"/>
            <w:color w:val="1155CC"/>
            <w:sz w:val="24"/>
            <w:szCs w:val="24"/>
            <w:u w:val="single"/>
          </w:rPr>
          <w:t xml:space="preserve">проведении</w:t>
        </w:r>
      </w:hyperlink>
      <w:r>
        <w:rPr>
          <w:rFonts w:ascii="Twentieth Century" w:hAnsi="Twentieth Century" w:eastAsia="Twentieth Century" w:cs="Twentieth Century"/>
          <w:sz w:val="24"/>
          <w:szCs w:val="24"/>
        </w:rPr>
        <w:t xml:space="preserve"> картографирования экосистем в национальном масштабе позволил реализовать значительные природоохранные меры, которые в противном случае были бы затруднительны, включая выявление экосистем высокой целостности в соответствии с Целью 1 KM-GBF. </w:t>
      </w:r>
    </w:p>
    <w:p w:rsidR="009C0A0D" w:rsidRDefault="00000000" w14:paraId="217E4EFD"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текст в ОП32, чтобы не сбавлять темп в обеспечении согласованности политики и синергетической реализации. </w:t>
      </w:r>
      <w:r>
        <w:rPr>
          <w:rFonts w:ascii="Twentieth Century" w:hAnsi="Twentieth Century" w:eastAsia="Twentieth Century" w:cs="Twentieth Century"/>
          <w:sz w:val="24"/>
          <w:szCs w:val="24"/>
        </w:rPr>
        <w:t xml:space="preserve">Научные данные однозначно показывают, что цели в области биоразнообразия и климата взаимосвязаны, и ни одна из целей какой-либо отдельной конвенции, связанной с биоразнообразием, не может быть достигнута в изоляции. Этот пункт напрямую отвечает выводам Глобального обзора и отражает как призывы гражданского общества, так и </w:t>
      </w:r>
      <w:hyperlink r:id="rId15">
        <w:r>
          <w:rPr>
            <w:rFonts w:ascii="Twentieth Century" w:hAnsi="Twentieth Century" w:eastAsia="Twentieth Century" w:cs="Twentieth Century"/>
            <w:color w:val="1155CC"/>
            <w:sz w:val="24"/>
            <w:szCs w:val="24"/>
            <w:u w:val="single"/>
          </w:rPr>
          <w:t xml:space="preserve">данные</w:t>
        </w:r>
      </w:hyperlink>
      <w:r>
        <w:rPr>
          <w:rFonts w:ascii="Twentieth Century" w:hAnsi="Twentieth Century" w:eastAsia="Twentieth Century" w:cs="Twentieth Century"/>
          <w:sz w:val="24"/>
          <w:szCs w:val="24"/>
        </w:rPr>
        <w:t xml:space="preserve"> о том, что стратегиям в области биоразнообразия и климата не хватает конкретных связей на национальном и субнациональном уровнях. [См. также: OP12 в пункте 9(b) повестки дня, ниже]. Однако задача заключается в практической реализации программы интеграции, что должно найти отражение в запросах к Исполнительному секретарю и в обсуждениях бюджета. </w:t>
      </w:r>
    </w:p>
    <w:p w:rsidR="009C0A0D" w:rsidRDefault="00000000" w14:paraId="05A9079F"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[удалить скобки вокруг] текст в оперативных предложениях 35 и 37, призывающий Стороны укреплять вовлечение всех сторон в планирование и реализацию</w:t>
      </w:r>
      <w:r>
        <w:rPr>
          <w:rFonts w:ascii="Twentieth Century" w:hAnsi="Twentieth Century" w:eastAsia="Twentieth Century" w:cs="Twentieth Century"/>
          <w:sz w:val="24"/>
          <w:szCs w:val="24"/>
        </w:rPr>
        <w:t xml:space="preserve">, а также текст, конкретно касающийся обеспечения полного и эффективного участия коренных народов и местных общин, женщин и молодежи.  </w:t>
      </w:r>
    </w:p>
    <w:p w:rsidR="009C0A0D" w:rsidRDefault="00000000" w14:paraId="40960BB8"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70C0"/>
          <w:sz w:val="24"/>
          <w:szCs w:val="24"/>
        </w:rPr>
        <w:t xml:space="preserve">Добавить </w:t>
      </w:r>
      <w:r>
        <w:rPr>
          <w:rFonts w:ascii="Twentieth Century" w:hAnsi="Twentieth Century" w:eastAsia="Twentieth Century" w:cs="Twentieth Century"/>
          <w:color w:val="0070C0"/>
          <w:sz w:val="24"/>
          <w:szCs w:val="24"/>
        </w:rPr>
        <w:t xml:space="preserve">новое оперативное предложение (после ОП 35) или включить в Декларацию лидеров призыв к увеличению инвестиций в людей, работающих на передовой охраны природы. </w:t>
      </w:r>
      <w:r>
        <w:rPr>
          <w:rFonts w:ascii="Twentieth Century" w:hAnsi="Twentieth Century" w:eastAsia="Twentieth Century" w:cs="Twentieth Century"/>
          <w:sz w:val="24"/>
          <w:szCs w:val="24"/>
        </w:rPr>
        <w:t xml:space="preserve">Такие инициативы, как </w:t>
      </w:r>
      <w:hyperlink r:id="rId16">
        <w:r>
          <w:rPr>
            <w:rFonts w:ascii="Twentieth Century" w:hAnsi="Twentieth Century" w:eastAsia="Twentieth Century" w:cs="Twentieth Century"/>
            <w:color w:val="1155CC"/>
            <w:sz w:val="24"/>
            <w:szCs w:val="24"/>
            <w:u w:val="single"/>
          </w:rPr>
          <w:t xml:space="preserve">«Женщины-хранители океана»</w:t>
        </w:r>
      </w:hyperlink>
      <w:r>
        <w:rPr>
          <w:rFonts w:ascii="Twentieth Century" w:hAnsi="Twentieth Century" w:eastAsia="Twentieth Century" w:cs="Twentieth Century"/>
          <w:color w:val="0070C0"/>
          <w:sz w:val="24"/>
          <w:szCs w:val="24"/>
        </w:rPr>
        <w:t xml:space="preserve">, </w:t>
      </w:r>
      <w:r>
        <w:rPr>
          <w:rFonts w:ascii="Twentieth Century" w:hAnsi="Twentieth Century" w:eastAsia="Twentieth Century" w:cs="Twentieth Century"/>
          <w:sz w:val="24"/>
          <w:szCs w:val="24"/>
        </w:rPr>
        <w:t xml:space="preserve">демонстрируют, как добровольные обязательства воплощаются в реализацию Инициативы «Управление знаниями — Глобальный фонд для охраны природы» (KM-GBF) посредством глобального партнерства, ориентированного на гендерно-трансформативное управление океанами и лидерство женщин в области охраны морской среды. Рейнджеры, </w:t>
      </w:r>
      <w:r>
        <w:rPr>
          <w:rFonts w:ascii="Twentieth Century" w:hAnsi="Twentieth Century" w:eastAsia="Twentieth Century" w:cs="Twentieth Century"/>
          <w:sz w:val="24"/>
          <w:szCs w:val="24"/>
        </w:rPr>
        <w:t xml:space="preserve">экостражи</w:t>
      </w:r>
      <w:r>
        <w:rPr>
          <w:rFonts w:ascii="Twentieth Century" w:hAnsi="Twentieth Century" w:eastAsia="Twentieth Century" w:cs="Twentieth Century"/>
          <w:sz w:val="24"/>
          <w:szCs w:val="24"/>
        </w:rPr>
        <w:t xml:space="preserve">, рыбаки и другие люди, работающие на передовой природоохранной деятельности, являются ключевыми участниками реализации KM-GBF, однако эти люди и их системы управления не занимают видное место в призывах к усилению реализации в период с 2026 по 2030 год. </w:t>
      </w:r>
    </w:p>
    <w:p w:rsidR="009C0A0D" w:rsidRDefault="00000000" w14:paraId="574C6B15" w14:textId="77777777">
      <w:pPr>
        <w:spacing w:line="240" w:lineRule="auto"/>
        <w:ind w:start="720"/>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9B4EB48" w14:textId="77777777">
      <w:pPr>
        <w:pStyle w:val="Heading1"/>
        <w:rPr>
          <w:shd w:val="clear" w:color="auto" w:fill="C6C6C6"/>
        </w:rPr>
      </w:pPr>
      <w:bookmarkStart w:name="_fi9rlyfsjwv0" w:colFirst="0" w:colLast="0" w:id="4"/>
      <w:bookmarkEnd w:id="4"/>
      <w:r>
        <w:lastRenderedPageBreak/>
      </w:r>
      <w:r>
        <w:t xml:space="preserve">Пункт 9b повестки дня: «Система мониторинга Глобальной рамочной программы по биоразнообразию «Куньмин-Монреаль» </w:t>
      </w:r>
    </w:p>
    <w:p w:rsidR="009C0A0D" w:rsidRDefault="00000000" w14:paraId="1CB2FD27"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i/>
          <w:iCs/>
          <w:sz w:val="24"/>
          <w:szCs w:val="24"/>
        </w:rPr>
        <w:t xml:space="preserve">Текущий проект решения: </w:t>
      </w:r>
      <w:hyperlink r:id="rId17">
        <w:r>
          <w:rPr>
            <w:rFonts w:ascii="Twentieth Century" w:hAnsi="Twentieth Century" w:eastAsia="Twentieth Century" w:cs="Twentieth Century"/>
            <w:i/>
            <w:iCs/>
            <w:color w:val="1155CC"/>
            <w:sz w:val="24"/>
            <w:szCs w:val="24"/>
            <w:u w:val="single"/>
          </w:rPr>
          <w:t xml:space="preserve">SBI/REC/7/1</w:t>
        </w:r>
      </w:hyperlink>
      <w:r>
        <w:rPr>
          <w:rFonts w:ascii="Twentieth Century" w:hAnsi="Twentieth Century" w:eastAsia="Twentieth Century" w:cs="Twentieth Century"/>
          <w:i/>
          <w:iCs/>
          <w:sz w:val="24"/>
          <w:szCs w:val="24"/>
        </w:rPr>
        <w:t xml:space="preserve"> [часть B]</w:t>
      </w:r>
    </w:p>
    <w:p w:rsidR="009C0A0D" w:rsidRDefault="00000000" w14:paraId="19A68C66"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564E69E"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Что касается проекта решения Конференции Сторон (CoP) 17, мы рекомендуем Сторонам: </w:t>
      </w:r>
    </w:p>
    <w:p w:rsidR="009C0A0D" w:rsidRDefault="009C0A0D" w14:paraId="2AF012C4"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70CBB19"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текст в оперативном пункте 7, призывающий провести второй глобальный обзор для улучшения оценки результатов и </w:t>
      </w:r>
      <w:r>
        <w:rPr>
          <w:rFonts w:ascii="Twentieth Century" w:hAnsi="Twentieth Century" w:eastAsia="Twentieth Century" w:cs="Twentieth Century"/>
          <w:color w:val="00B050"/>
          <w:sz w:val="24"/>
          <w:szCs w:val="24"/>
        </w:rPr>
        <w:t xml:space="preserve">эффективности, и </w:t>
      </w:r>
      <w:r>
        <w:rPr>
          <w:rFonts w:ascii="Twentieth Century" w:hAnsi="Twentieth Century" w:eastAsia="Twentieth Century" w:cs="Twentieth Century"/>
          <w:color w:val="00B050"/>
          <w:sz w:val="24"/>
          <w:szCs w:val="24"/>
        </w:rPr>
        <w:t xml:space="preserve">рассмотреть возможность внесения поправок в мандат Группы экспертов по научным и техническим вопросам (ASHTAG) в этом отношении. </w:t>
      </w:r>
      <w:r>
        <w:rPr>
          <w:rFonts w:ascii="Twentieth Century" w:hAnsi="Twentieth Century" w:eastAsia="Twentieth Century" w:cs="Twentieth Century"/>
          <w:sz w:val="24"/>
          <w:szCs w:val="24"/>
        </w:rPr>
        <w:t xml:space="preserve">В Глобальном обзоре четко отмечалось отсутствие </w:t>
      </w:r>
      <w:r>
        <w:rPr>
          <w:rFonts w:ascii="Twentieth Century" w:hAnsi="Twentieth Century" w:eastAsia="Twentieth Century" w:cs="Twentieth Century"/>
          <w:i/>
          <w:iCs/>
          <w:sz w:val="24"/>
          <w:szCs w:val="24"/>
        </w:rPr>
        <w:t xml:space="preserve">«технической инфраструктуры и базовых показателей, необходимых для оценки здоровья экосистем или эффективности управления. Пробелы особенно остро ощущаются в морских и глубоководных экосистемах…». </w:t>
      </w:r>
      <w:r>
        <w:rPr>
          <w:rFonts w:ascii="Twentieth Century" w:hAnsi="Twentieth Century" w:eastAsia="Twentieth Century" w:cs="Twentieth Century"/>
          <w:sz w:val="24"/>
          <w:szCs w:val="24"/>
        </w:rPr>
        <w:t xml:space="preserve">Во-первых, мы предлагаем изменить формулировку в пункте 7 оперативной части, чтобы она более непосредственно соотносилась с целями Куньминско-Монреальской глобальной рамочной программы на период до 2050 года (например, результаты, касающиеся укрепления «целостности, взаимосвязанности и устойчивости» экосистем). Во-вторых, WCS обладает обширным опытом внедрения технологических инструментов для оптимизации сбора и управления данными в целях мониторинга биоразнообразия и измерения результатов, в том числе в морской сфере. Наконец, мы отмечаем текущую работу Всемирной комиссии по охраняемым территориям МСОП по изучению этих вопросов</w:t>
      </w:r>
      <w:r>
        <w:rPr>
          <w:rFonts w:ascii="Twentieth Century" w:hAnsi="Twentieth Century" w:eastAsia="Twentieth Century" w:cs="Twentieth Century"/>
          <w:sz w:val="24"/>
          <w:szCs w:val="24"/>
        </w:rPr>
        <w:t xml:space="preserve">, касающихся</w:t>
      </w:r>
      <w:r>
        <w:rPr>
          <w:rFonts w:ascii="Twentieth Century" w:hAnsi="Twentieth Century" w:eastAsia="Twentieth Century" w:cs="Twentieth Century"/>
          <w:sz w:val="24"/>
          <w:szCs w:val="24"/>
        </w:rPr>
        <w:t xml:space="preserve"> </w:t>
      </w:r>
      <w:hyperlink r:id="rId18">
        <w:r>
          <w:rPr>
            <w:rFonts w:ascii="Twentieth Century" w:hAnsi="Twentieth Century" w:eastAsia="Twentieth Century" w:cs="Twentieth Century"/>
            <w:color w:val="1155CC"/>
            <w:sz w:val="24"/>
            <w:szCs w:val="24"/>
            <w:u w:val="single"/>
          </w:rPr>
          <w:t xml:space="preserve">результатов</w:t>
        </w:r>
      </w:hyperlink>
      <w:r>
        <w:rPr>
          <w:rFonts w:ascii="Twentieth Century" w:hAnsi="Twentieth Century" w:eastAsia="Twentieth Century" w:cs="Twentieth Century"/>
          <w:sz w:val="24"/>
          <w:szCs w:val="24"/>
        </w:rPr>
        <w:t xml:space="preserve"> и экологической целостности. </w:t>
      </w:r>
    </w:p>
    <w:p w:rsidR="009C0A0D" w:rsidRDefault="00000000" w14:paraId="1E729C61"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[удалить скобки вокруг] текст в OP11 и 22(j), ориентируясь на второй глобальный обзор и подчеркивая важность направления инвестиций в необходимые области. </w:t>
      </w:r>
      <w:r>
        <w:rPr>
          <w:rFonts w:ascii="Twentieth Century" w:hAnsi="Twentieth Century" w:eastAsia="Twentieth Century" w:cs="Twentieth Century"/>
          <w:sz w:val="24"/>
          <w:szCs w:val="24"/>
        </w:rPr>
        <w:t xml:space="preserve">Мы признаем неопределенность в отношении того, что может существовать в период с 2030 по 2050 год в качестве доработанной версии KM-GBF. Однако мы решительно поддерживаем формулировки, которые будут непосредственно основываться на выводах глобальных обзоров, а не разрабатываться в отрыве от реальности. При разработке второго глобального обзора следует учитывать это, сохраняя при этом акцент на исторических усилиях по реализации существующих целей на 2030 год. </w:t>
      </w:r>
    </w:p>
    <w:p w:rsidR="009C0A0D" w:rsidRDefault="00000000" w14:paraId="2DE5F71A"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в </w:t>
      </w:r>
      <w:r>
        <w:rPr>
          <w:rFonts w:ascii="Twentieth Century" w:hAnsi="Twentieth Century" w:eastAsia="Twentieth Century" w:cs="Twentieth Century"/>
          <w:color w:val="00B050"/>
          <w:sz w:val="24"/>
          <w:szCs w:val="24"/>
        </w:rPr>
        <w:t xml:space="preserve">круге </w:t>
      </w:r>
      <w:r>
        <w:rPr>
          <w:rFonts w:ascii="Twentieth Century" w:hAnsi="Twentieth Century" w:eastAsia="Twentieth Century" w:cs="Twentieth Century"/>
          <w:color w:val="00B050"/>
          <w:sz w:val="24"/>
          <w:szCs w:val="24"/>
        </w:rPr>
        <w:t xml:space="preserve">ведения ASHTAG [Приложение II, пункт 1(b)] формулировку, касающуюся разработки методологий, в частности использования </w:t>
      </w:r>
      <w:r>
        <w:rPr>
          <w:rFonts w:ascii="Twentieth Century" w:hAnsi="Twentieth Century" w:eastAsia="Twentieth Century" w:cs="Twentieth Century"/>
          <w:color w:val="00B050"/>
          <w:sz w:val="24"/>
          <w:szCs w:val="24"/>
        </w:rPr>
        <w:t xml:space="preserve">дезагрегированных данных</w:t>
      </w:r>
      <w:r>
        <w:rPr>
          <w:rFonts w:ascii="Twentieth Century" w:hAnsi="Twentieth Century" w:eastAsia="Twentieth Century" w:cs="Twentieth Century"/>
          <w:color w:val="00B050"/>
          <w:sz w:val="24"/>
          <w:szCs w:val="24"/>
        </w:rPr>
        <w:t xml:space="preserve">, для оценки того, связаны ли пробелы в мониторинге с доступностью данных, техническим потенциалом или другими препятствиями для отчетности. </w:t>
      </w:r>
      <w:r>
        <w:rPr>
          <w:rFonts w:ascii="Twentieth Century" w:hAnsi="Twentieth Century" w:eastAsia="Twentieth Century" w:cs="Twentieth Century"/>
          <w:sz w:val="24"/>
          <w:szCs w:val="24"/>
        </w:rPr>
        <w:t xml:space="preserve">В Глобальном докладе отмечается неполнота информации о тенденциях, характерных для конкретных биомов или экосистем, что является ключевым средством, определяющим направления инвестиций в наращивание потенциала, совершенствование методологии и т. д. Однако в документе также содержатся формулировки о представлении национальных или отдельных показателей, которые представляют собой </w:t>
      </w:r>
      <w:r>
        <w:rPr>
          <w:rFonts w:ascii="Twentieth Century" w:hAnsi="Twentieth Century" w:eastAsia="Twentieth Century" w:cs="Twentieth Century"/>
          <w:sz w:val="24"/>
          <w:szCs w:val="24"/>
        </w:rPr>
        <w:t xml:space="preserve">дезагрегированные </w:t>
      </w:r>
      <w:r>
        <w:rPr>
          <w:rFonts w:ascii="Twentieth Century" w:hAnsi="Twentieth Century" w:eastAsia="Twentieth Century" w:cs="Twentieth Century"/>
          <w:sz w:val="24"/>
          <w:szCs w:val="24"/>
        </w:rPr>
        <w:t xml:space="preserve">данные по основным показателям. Этот вопрос заслуживает более глубокого анализа и четких рекомендаций, которые, возможно, стоило бы рассмотреть любой экспертной группе, создаваемой после КС-17. В тех случаях, когда методологические ограничения и недостаток данных препятствуют представлению отчетности о ключевых угрозах биоразнообразию (таких как загрязнение воды и показатель 7.1), нам, возможно, потребуются дополнительные технические рекомендации о том, как решать эти проблемы. </w:t>
      </w:r>
    </w:p>
    <w:p w:rsidR="009C0A0D" w:rsidRDefault="00000000" w14:paraId="6A456D52"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047FCA92" w14:textId="77777777">
      <w:pPr>
        <w:pStyle w:val="Heading1"/>
        <w:rPr>
          <w:shd w:val="clear" w:color="auto" w:fill="C6C6C6"/>
        </w:rPr>
      </w:pPr>
      <w:bookmarkStart w:name="_8e8bffr3p28l" w:colFirst="0" w:colLast="0" w:id="5"/>
      <w:bookmarkEnd w:id="5"/>
      <w:r>
        <w:t xml:space="preserve">Пункт 13 повестки дня: «Сотрудничество с другими конвенциями и международными организациями» </w:t>
      </w:r>
    </w:p>
    <w:p w:rsidR="009C0A0D" w:rsidRDefault="00000000" w14:paraId="358AE61B"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Текущий проект решения: </w:t>
      </w:r>
      <w:hyperlink r:id="rId19">
        <w:r>
          <w:rPr>
            <w:rFonts w:ascii="Twentieth Century" w:hAnsi="Twentieth Century" w:eastAsia="Twentieth Century" w:cs="Twentieth Century"/>
            <w:i/>
            <w:iCs/>
            <w:color w:val="0563C1"/>
            <w:sz w:val="24"/>
            <w:szCs w:val="24"/>
            <w:u w:val="single"/>
          </w:rPr>
          <w:t xml:space="preserve">SBI/REC/6/6</w:t>
        </w:r>
      </w:hyperlink>
      <w:r>
        <w:rPr>
          <w:rFonts w:ascii="Twentieth Century" w:hAnsi="Twentieth Century" w:eastAsia="Twentieth Century" w:cs="Twentieth Century"/>
          <w:sz w:val="24"/>
          <w:szCs w:val="24"/>
          <w:shd w:val="clear" w:color="auto" w:fill="C6C6C6"/>
        </w:rPr>
        <w:t xml:space="preserve"> </w:t>
      </w:r>
    </w:p>
    <w:p w:rsidR="009C0A0D" w:rsidRDefault="00000000" w14:paraId="2CAA73F3"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Доклад о ходе работы по вопросу «Биоразнообразие и изменение климата»: </w:t>
      </w:r>
      <w:hyperlink r:id="rId20">
        <w:r>
          <w:rPr>
            <w:rFonts w:ascii="Twentieth Century" w:hAnsi="Twentieth Century" w:eastAsia="Twentieth Century" w:cs="Twentieth Century"/>
            <w:i/>
            <w:iCs/>
            <w:color w:val="1155CC"/>
            <w:sz w:val="24"/>
            <w:szCs w:val="24"/>
            <w:u w:val="single"/>
          </w:rPr>
          <w:t xml:space="preserve">COP/17/11</w:t>
        </w:r>
      </w:hyperlink>
    </w:p>
    <w:p w:rsidR="009C0A0D" w:rsidRDefault="009C0A0D" w14:paraId="222EF876"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000000" w14:paraId="7EFE8FC5"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Что касается проекта решения КС-17, мы рекомендуем Сторонам: </w:t>
      </w:r>
    </w:p>
    <w:p w:rsidR="009C0A0D" w:rsidRDefault="009C0A0D" w14:paraId="06DE6EA8"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1E47E0B3"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70C0"/>
          <w:sz w:val="24"/>
          <w:szCs w:val="24"/>
          <w:highlight w:val="white"/>
        </w:rPr>
        <w:lastRenderedPageBreak/>
      </w:r>
      <w:r>
        <w:rPr>
          <w:rFonts w:ascii="Twentieth Century" w:hAnsi="Twentieth Century" w:eastAsia="Twentieth Century" w:cs="Twentieth Century"/>
          <w:b/>
          <w:bCs/>
          <w:color w:val="0070C0"/>
          <w:sz w:val="24"/>
          <w:szCs w:val="24"/>
          <w:highlight w:val="white"/>
        </w:rPr>
        <w:t xml:space="preserve">Внести поправку </w:t>
      </w:r>
      <w:r>
        <w:rPr>
          <w:rFonts w:ascii="Twentieth Century" w:hAnsi="Twentieth Century" w:eastAsia="Twentieth Century" w:cs="Twentieth Century"/>
          <w:color w:val="0070C0"/>
          <w:sz w:val="24"/>
          <w:szCs w:val="24"/>
          <w:highlight w:val="white"/>
        </w:rPr>
        <w:t xml:space="preserve">в заполняемый фрагмент текста в OP11, чтобы одобрить многоуровневую </w:t>
      </w:r>
      <w:r>
        <w:rPr>
          <w:rFonts w:ascii="Twentieth Century" w:hAnsi="Twentieth Century" w:eastAsia="Twentieth Century" w:cs="Twentieth Century"/>
          <w:sz w:val="24"/>
          <w:szCs w:val="24"/>
          <w:highlight w:val="white"/>
        </w:rPr>
        <w:t xml:space="preserve">дорожную</w:t>
      </w:r>
      <w:r>
        <w:rPr>
          <w:rFonts w:ascii="Twentieth Century" w:hAnsi="Twentieth Century" w:eastAsia="Twentieth Century" w:cs="Twentieth Century"/>
          <w:color w:val="0070C0"/>
          <w:sz w:val="24"/>
          <w:szCs w:val="24"/>
          <w:highlight w:val="white"/>
        </w:rPr>
        <w:t xml:space="preserve"> карту. </w:t>
      </w:r>
      <w:r>
        <w:rPr>
          <w:rFonts w:ascii="Twentieth Century" w:hAnsi="Twentieth Century" w:eastAsia="Twentieth Century" w:cs="Twentieth Century"/>
          <w:sz w:val="24"/>
          <w:szCs w:val="24"/>
          <w:highlight w:val="white"/>
        </w:rPr>
        <w:t xml:space="preserve">Многоуровневая дорожная карта с вариантами мер по укреплению согласованности политики представляет собой конкретный и пригодный для практического применения документ, который Стороны могут рассмотреть в дальнейшем. Работа, проделанная над документом, опубликованным в </w:t>
      </w:r>
      <w:hyperlink r:id="rId21">
        <w:r>
          <w:rPr>
            <w:rFonts w:ascii="Twentieth Century" w:hAnsi="Twentieth Century" w:eastAsia="Twentieth Century" w:cs="Twentieth Century"/>
            <w:color w:val="1155CC"/>
            <w:sz w:val="24"/>
            <w:szCs w:val="24"/>
            <w:highlight w:val="white"/>
            <w:u w:val="single"/>
          </w:rPr>
          <w:t xml:space="preserve">COP/17/11,</w:t>
        </w:r>
      </w:hyperlink>
      <w:r>
        <w:rPr>
          <w:rFonts w:ascii="Twentieth Century" w:hAnsi="Twentieth Century" w:eastAsia="Twentieth Century" w:cs="Twentieth Century"/>
          <w:sz w:val="24"/>
          <w:szCs w:val="24"/>
          <w:highlight w:val="white"/>
        </w:rPr>
        <w:t xml:space="preserve"> была ценной и отражает вклад экспертов. Это должно стать основой для дальнейшего сотрудничества.  </w:t>
      </w:r>
    </w:p>
    <w:p w:rsidR="009C0A0D" w:rsidRDefault="00000000" w14:paraId="4683F94F"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70C0"/>
          <w:sz w:val="24"/>
          <w:szCs w:val="24"/>
          <w:highlight w:val="white"/>
        </w:rPr>
        <w:t xml:space="preserve">Внести </w:t>
      </w:r>
      <w:r>
        <w:rPr>
          <w:rFonts w:ascii="Twentieth Century" w:hAnsi="Twentieth Century" w:eastAsia="Twentieth Century" w:cs="Twentieth Century"/>
          <w:color w:val="0070C0"/>
          <w:sz w:val="24"/>
          <w:szCs w:val="24"/>
          <w:highlight w:val="white"/>
        </w:rPr>
        <w:t xml:space="preserve">поправки в текст просьб к Исполнительному секретарю (OP16(c)), чтобы включить многоуровневую дорожную карту в работу по установлению контактов с секретариатами Рио-де-Жанейрских конвенций. </w:t>
      </w:r>
      <w:r>
        <w:rPr>
          <w:rFonts w:ascii="Twentieth Century" w:hAnsi="Twentieth Century" w:eastAsia="Twentieth Century" w:cs="Twentieth Century"/>
          <w:sz w:val="24"/>
          <w:szCs w:val="24"/>
          <w:highlight w:val="white"/>
        </w:rPr>
        <w:t xml:space="preserve">Хотя Стороны КБР не могут принимать решения от имени Сторон других «Рио-де-Жанейрских» конвенций в Ереване, они могут обеспечить, чтобы в рамках настоящей Конвенции были приложены все усилия для достижения более тесного сотрудничества, повышения эффективности и взаимодополняющей технической работы. Распространение многоуровневой дорожной карты — один из способов продвижения переговоров на основе конкретного предложения. Отдельные элементы также можно выделить или обсудить в абстрактном плане. </w:t>
      </w:r>
    </w:p>
    <w:p w:rsidR="009C0A0D" w:rsidRDefault="009C0A0D" w14:paraId="50003413"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2DA97B7" w14:textId="77777777">
      <w:pPr>
        <w:pStyle w:val="Heading1"/>
        <w:rPr>
          <w:shd w:val="clear" w:color="auto" w:fill="C6C6C6"/>
        </w:rPr>
      </w:pPr>
      <w:bookmarkStart w:name="_55d2dkya2trc" w:colFirst="0" w:colLast="0" w:id="6"/>
      <w:bookmarkEnd w:id="6"/>
      <w:r>
        <w:t xml:space="preserve">Пункт повестки дня 17(c): «Стратегический обзор и обновление </w:t>
      </w:r>
      <w:r>
        <w:t xml:space="preserve">программы </w:t>
      </w:r>
      <w:r>
        <w:t xml:space="preserve">работы по охраняемым территориям» </w:t>
      </w:r>
    </w:p>
    <w:p w:rsidR="009C0A0D" w:rsidRDefault="00000000" w14:paraId="06FB2705"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Текущий проект решения: </w:t>
      </w:r>
      <w:hyperlink r:id="rId22">
        <w:r>
          <w:rPr>
            <w:rFonts w:ascii="Twentieth Century" w:hAnsi="Twentieth Century" w:eastAsia="Twentieth Century" w:cs="Twentieth Century"/>
            <w:i/>
            <w:iCs/>
            <w:color w:val="0070C0"/>
            <w:sz w:val="24"/>
            <w:szCs w:val="24"/>
            <w:u w:val="single"/>
          </w:rPr>
          <w:t xml:space="preserve">SBSTTA/REC/28/5</w:t>
        </w:r>
      </w:hyperlink>
    </w:p>
    <w:p w:rsidR="009C0A0D" w:rsidRDefault="009C0A0D" w14:paraId="6C148EA1" w14:textId="77777777">
      <w:pPr>
        <w:spacing w:line="240" w:lineRule="auto"/>
        <w:rPr>
          <w:rFonts w:ascii="Twentieth Century" w:hAnsi="Twentieth Century" w:eastAsia="Twentieth Century" w:cs="Twentieth Century"/>
          <w:sz w:val="24"/>
          <w:szCs w:val="24"/>
          <w:shd w:val="clear" w:color="auto" w:fill="C6C6C6"/>
        </w:rPr>
      </w:pPr>
    </w:p>
    <w:p w:rsidR="009C0A0D" w:rsidRDefault="00000000" w14:paraId="6BB0AFF2"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Что касается проекта решения КС-17, мы рекомендуем Сторонам: </w:t>
      </w:r>
    </w:p>
    <w:p w:rsidR="009C0A0D" w:rsidRDefault="009C0A0D" w14:paraId="745AC1AF"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8C550A2"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текст в пункте OP14(c)(ii), призывающий Секретариат обобщить мнения об извлеченных уроках в отношении Цели 3 и </w:t>
      </w:r>
      <w:r>
        <w:rPr>
          <w:rFonts w:ascii="Twentieth Century" w:hAnsi="Twentieth Century" w:eastAsia="Twentieth Century" w:cs="Twentieth Century"/>
          <w:i/>
          <w:iCs/>
          <w:color w:val="00B050"/>
          <w:sz w:val="24"/>
          <w:szCs w:val="24"/>
        </w:rPr>
        <w:t xml:space="preserve">«Экологической </w:t>
      </w:r>
      <w:r>
        <w:rPr>
          <w:rFonts w:ascii="Twentieth Century" w:hAnsi="Twentieth Century" w:eastAsia="Twentieth Century" w:cs="Twentieth Century"/>
          <w:i/>
          <w:iCs/>
          <w:color w:val="00B050"/>
          <w:sz w:val="24"/>
          <w:szCs w:val="24"/>
        </w:rPr>
        <w:t xml:space="preserve">целостности… </w:t>
      </w:r>
      <w:r>
        <w:rPr>
          <w:rFonts w:ascii="Twentieth Century" w:hAnsi="Twentieth Century" w:eastAsia="Twentieth Century" w:cs="Twentieth Century"/>
          <w:i/>
          <w:iCs/>
          <w:color w:val="00B050"/>
          <w:sz w:val="24"/>
          <w:szCs w:val="24"/>
        </w:rPr>
        <w:t xml:space="preserve">и </w:t>
      </w:r>
      <w:r>
        <w:rPr>
          <w:rFonts w:ascii="Twentieth Century" w:hAnsi="Twentieth Century" w:eastAsia="Twentieth Century" w:cs="Twentieth Century"/>
          <w:i/>
          <w:iCs/>
          <w:color w:val="00B050"/>
          <w:sz w:val="24"/>
          <w:szCs w:val="24"/>
        </w:rPr>
        <w:t xml:space="preserve">устойчивости… в том числе в контексте изменения климата». </w:t>
      </w:r>
      <w:r>
        <w:rPr>
          <w:rFonts w:ascii="Twentieth Century" w:hAnsi="Twentieth Century" w:eastAsia="Twentieth Century" w:cs="Twentieth Century"/>
          <w:sz w:val="24"/>
          <w:szCs w:val="24"/>
        </w:rPr>
        <w:t xml:space="preserve">Крайне важно, чтобы наши усилия по созданию, управлению, мониторингу и отчетности в отношении территориальных мер по сохранению оставались сосредоточенными на долгосрочных целях KM-GBF. Без интеграции территориальных мер в более широкие стратегии сохранения экосистем и без учета воздействия изменения климата на эти более широкие стратегии отдельные краткосрочные меры обречены на провал. Это важнейший процесс для сбора мнений Сторон, которые также могут послужить основой для Всемирного конгресса по охраняемым и сохраняемым территориям, который будет созван правительством Панамы и МСОП в 2027 году. </w:t>
      </w:r>
    </w:p>
    <w:p w:rsidR="009C0A0D" w:rsidRDefault="00000000" w14:paraId="24B32CA5"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70C0"/>
          <w:sz w:val="24"/>
          <w:szCs w:val="24"/>
        </w:rPr>
        <w:t xml:space="preserve">Внести поправку </w:t>
      </w:r>
      <w:r>
        <w:rPr>
          <w:rFonts w:ascii="Twentieth Century" w:hAnsi="Twentieth Century" w:eastAsia="Twentieth Century" w:cs="Twentieth Century"/>
          <w:color w:val="0070C0"/>
          <w:sz w:val="24"/>
          <w:szCs w:val="24"/>
        </w:rPr>
        <w:t xml:space="preserve">в текст пункта (c)(v) раздела OP6, призывая к более тщательному изучению взаимосвязей между природой и культурой. </w:t>
      </w:r>
      <w:r>
        <w:rPr>
          <w:rFonts w:ascii="Twentieth Century" w:hAnsi="Twentieth Century" w:eastAsia="Twentieth Century" w:cs="Twentieth Century"/>
          <w:sz w:val="24"/>
          <w:szCs w:val="24"/>
        </w:rPr>
        <w:t xml:space="preserve">В данной </w:t>
      </w:r>
      <w:r>
        <w:rPr>
          <w:rFonts w:ascii="Twentieth Century" w:hAnsi="Twentieth Century" w:eastAsia="Twentieth Century" w:cs="Twentieth Century"/>
          <w:sz w:val="24"/>
          <w:szCs w:val="24"/>
        </w:rPr>
        <w:t xml:space="preserve">программе </w:t>
      </w:r>
      <w:r>
        <w:rPr>
          <w:rFonts w:ascii="Twentieth Century" w:hAnsi="Twentieth Century" w:eastAsia="Twentieth Century" w:cs="Twentieth Century"/>
          <w:sz w:val="24"/>
          <w:szCs w:val="24"/>
        </w:rPr>
        <w:t xml:space="preserve">работы </w:t>
      </w:r>
      <w:r>
        <w:rPr>
          <w:rFonts w:ascii="Twentieth Century" w:hAnsi="Twentieth Century" w:eastAsia="Twentieth Century" w:cs="Twentieth Century"/>
          <w:sz w:val="24"/>
          <w:szCs w:val="24"/>
        </w:rPr>
        <w:t xml:space="preserve">отсутствует ключевой аспект</w:t>
      </w:r>
      <w:r>
        <w:rPr>
          <w:rFonts w:ascii="Twentieth Century" w:hAnsi="Twentieth Century" w:eastAsia="Twentieth Century" w:cs="Twentieth Century"/>
          <w:sz w:val="24"/>
          <w:szCs w:val="24"/>
        </w:rPr>
        <w:t xml:space="preserve">: связь между KM-GBF и управлением биокультурными взаимосвязями и целостностью, которое зачастую осуществляется в партнерстве с министерствами культуры и другими ведомствами. В эпоху сокращения ресурсов потенциал взаимосвязей между природой и культурой можно и нужно усиливать, опираясь на работу и экспертный опыт, накопленные в рамках таких инструментов, как Конвенция о всемирном наследии. </w:t>
      </w:r>
    </w:p>
    <w:p w:rsidR="009C0A0D" w:rsidRDefault="00000000" w14:paraId="08C48EF6"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[удалить скобки вокруг] текст в пункте 14(c)(iii) Программы действий в соответствии с принципами отсутствия контактов, нематериальности и предосторожности. </w:t>
      </w:r>
      <w:r>
        <w:rPr>
          <w:rFonts w:ascii="Twentieth Century" w:hAnsi="Twentieth Century" w:eastAsia="Twentieth Century" w:cs="Twentieth Century"/>
          <w:color w:val="242424"/>
          <w:sz w:val="24"/>
          <w:szCs w:val="24"/>
        </w:rPr>
        <w:t xml:space="preserve"> Коренные народы, находящиеся в добровольной изоляции, нуждаются в соблюдении принципа отсутствия контактов как средства обеспечения уважения их прав на самоопределение. </w:t>
      </w:r>
    </w:p>
    <w:p w:rsidR="009C0A0D" w:rsidRDefault="00000000" w14:paraId="77AD1EBF"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47818C1C" w14:textId="77777777">
      <w:pPr>
        <w:pStyle w:val="Heading1"/>
        <w:rPr>
          <w:shd w:val="clear" w:color="auto" w:fill="C6C6C6"/>
        </w:rPr>
      </w:pPr>
      <w:bookmarkStart w:name="_fqnycii1cmkc" w:colFirst="0" w:colLast="0" w:id="7"/>
      <w:bookmarkEnd w:id="7"/>
      <w:r>
        <w:t xml:space="preserve">Пункт повестки дня 17(d): «Направления возможной дальнейшей работы в контексте Рамочной программы» </w:t>
      </w:r>
    </w:p>
    <w:p w:rsidR="009C0A0D" w:rsidRDefault="00000000" w14:paraId="4FE8D846"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Текущий проект решения: </w:t>
      </w:r>
      <w:hyperlink r:id="rId23">
        <w:r>
          <w:rPr>
            <w:rFonts w:ascii="Twentieth Century" w:hAnsi="Twentieth Century" w:eastAsia="Twentieth Century" w:cs="Twentieth Century"/>
            <w:i/>
            <w:iCs/>
            <w:color w:val="0563C1"/>
            <w:sz w:val="24"/>
            <w:szCs w:val="24"/>
            <w:u w:val="single"/>
          </w:rPr>
          <w:t xml:space="preserve">SBSTTA/REC/27/6</w:t>
        </w:r>
      </w:hyperlink>
      <w:r>
        <w:rPr>
          <w:rFonts w:ascii="Twentieth Century" w:hAnsi="Twentieth Century" w:eastAsia="Twentieth Century" w:cs="Twentieth Century"/>
          <w:sz w:val="24"/>
          <w:szCs w:val="24"/>
          <w:shd w:val="clear" w:color="auto" w:fill="C6C6C6"/>
        </w:rPr>
        <w:t xml:space="preserve"> </w:t>
      </w:r>
    </w:p>
    <w:p w:rsidR="009C0A0D" w:rsidRDefault="00000000" w14:paraId="32BDE7EC"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3A771131"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Что касается проекта решения Конференции Сторон 17-й сессии, мы рекомендуем Сторонам: </w:t>
      </w:r>
    </w:p>
    <w:p w:rsidR="009C0A0D" w:rsidRDefault="009C0A0D" w14:paraId="04DB5115"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6CC242A8"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текст, содержащийся в проекте решения B. </w:t>
      </w:r>
      <w:r>
        <w:rPr>
          <w:rFonts w:ascii="Twentieth Century" w:hAnsi="Twentieth Century" w:eastAsia="Twentieth Century" w:cs="Twentieth Century"/>
          <w:sz w:val="24"/>
          <w:szCs w:val="24"/>
        </w:rPr>
        <w:t xml:space="preserve">Загрязнение представляет собой серьезную угрозу для </w:t>
      </w:r>
      <w:r>
        <w:rPr>
          <w:rFonts w:ascii="Twentieth Century" w:hAnsi="Twentieth Century" w:eastAsia="Twentieth Century" w:cs="Twentieth Century"/>
          <w:sz w:val="24"/>
          <w:szCs w:val="24"/>
        </w:rPr>
        <w:t xml:space="preserve">биоразнообразия и </w:t>
      </w:r>
      <w:r>
        <w:rPr>
          <w:rFonts w:ascii="Twentieth Century" w:hAnsi="Twentieth Century" w:eastAsia="Twentieth Century" w:cs="Twentieth Century"/>
          <w:sz w:val="24"/>
          <w:szCs w:val="24"/>
        </w:rPr>
        <w:t xml:space="preserve">зачастую затрагивает различные экологические сферы и органы управления (например, загрязнение с суши, </w:t>
      </w:r>
      <w:hyperlink r:id="rId24">
        <w:r>
          <w:rPr>
            <w:rFonts w:ascii="Twentieth Century" w:hAnsi="Twentieth Century" w:eastAsia="Twentieth Century" w:cs="Twentieth Century"/>
            <w:color w:val="1155CC"/>
            <w:sz w:val="24"/>
            <w:szCs w:val="24"/>
            <w:u w:val="single"/>
          </w:rPr>
          <w:t xml:space="preserve">затрагивающее</w:t>
        </w:r>
      </w:hyperlink>
      <w:r>
        <w:rPr>
          <w:rFonts w:ascii="Twentieth Century" w:hAnsi="Twentieth Century" w:eastAsia="Twentieth Century" w:cs="Twentieth Century"/>
          <w:sz w:val="24"/>
          <w:szCs w:val="24"/>
        </w:rPr>
        <w:t xml:space="preserve"> морские охраняемые районы). Это уникальная и неотложная задача для прекращения и обратного развития процесса утраты биоразнообразия, и КБР располагает всеми возможностями для увеличения инвестиций в эту область. В случае </w:t>
      </w:r>
      <w:r>
        <w:rPr>
          <w:rFonts w:ascii="Twentieth Century" w:hAnsi="Twentieth Century" w:eastAsia="Twentieth Century" w:cs="Twentieth Century"/>
          <w:sz w:val="24"/>
          <w:szCs w:val="24"/>
        </w:rPr>
        <w:t xml:space="preserve">упоминания </w:t>
      </w:r>
      <w:r>
        <w:rPr>
          <w:rFonts w:ascii="Twentieth Century" w:hAnsi="Twentieth Century" w:eastAsia="Twentieth Century" w:cs="Twentieth Century"/>
          <w:sz w:val="24"/>
          <w:szCs w:val="24"/>
        </w:rPr>
        <w:t xml:space="preserve">конкретных </w:t>
      </w:r>
      <w:r>
        <w:rPr>
          <w:rFonts w:ascii="Twentieth Century" w:hAnsi="Twentieth Century" w:eastAsia="Twentieth Century" w:cs="Twentieth Century"/>
          <w:sz w:val="24"/>
          <w:szCs w:val="24"/>
        </w:rPr>
        <w:t xml:space="preserve">видов загрязнения мы настоятельно рекомендуем включить ссылки на сточные воды, шум и другие виды загрязнения, оказывающие негативное воздействие на морские виды и экосистемы.</w:t>
      </w:r>
    </w:p>
    <w:p w:rsidR="009C0A0D" w:rsidRDefault="009C0A0D" w14:paraId="7384116D"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2C9D801B" w14:textId="77777777">
      <w:pPr>
        <w:pStyle w:val="Heading1"/>
        <w:rPr>
          <w:shd w:val="clear" w:color="auto" w:fill="C6C6C6"/>
        </w:rPr>
      </w:pPr>
      <w:bookmarkStart w:name="_grh24veb2skd" w:colFirst="0" w:colLast="0" w:id="8"/>
      <w:bookmarkEnd w:id="8"/>
      <w:r>
        <w:t xml:space="preserve">Пункт 18(а) повестки дня: «Биоразнообразие и изменение климата» </w:t>
      </w:r>
    </w:p>
    <w:p w:rsidR="009C0A0D" w:rsidRDefault="00000000" w14:paraId="314848E0"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Проект решения КС-17: </w:t>
      </w:r>
      <w:hyperlink r:id="rId25">
        <w:r>
          <w:rPr>
            <w:rFonts w:ascii="Twentieth Century" w:hAnsi="Twentieth Century" w:eastAsia="Twentieth Century" w:cs="Twentieth Century"/>
            <w:i/>
            <w:iCs/>
            <w:color w:val="0563C1"/>
            <w:sz w:val="24"/>
            <w:szCs w:val="24"/>
            <w:u w:val="single"/>
          </w:rPr>
          <w:t xml:space="preserve">SBSTTA/REC/27/3</w:t>
        </w:r>
      </w:hyperlink>
      <w:r>
        <w:rPr>
          <w:rFonts w:ascii="Twentieth Century" w:hAnsi="Twentieth Century" w:eastAsia="Twentieth Century" w:cs="Twentieth Century"/>
          <w:sz w:val="24"/>
          <w:szCs w:val="24"/>
          <w:shd w:val="clear" w:color="auto" w:fill="C6C6C6"/>
        </w:rPr>
        <w:t xml:space="preserve"> </w:t>
      </w:r>
    </w:p>
    <w:p w:rsidR="009C0A0D" w:rsidRDefault="00000000" w14:paraId="3D2094A3"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Доклад о ходе работы по вопросу «Биоразнообразие и изменение климата»: </w:t>
      </w:r>
      <w:hyperlink r:id="rId26">
        <w:r>
          <w:rPr>
            <w:rFonts w:ascii="Twentieth Century" w:hAnsi="Twentieth Century" w:eastAsia="Twentieth Century" w:cs="Twentieth Century"/>
            <w:i/>
            <w:iCs/>
            <w:color w:val="1155CC"/>
            <w:sz w:val="24"/>
            <w:szCs w:val="24"/>
            <w:u w:val="single"/>
          </w:rPr>
          <w:t xml:space="preserve">COP/17/11</w:t>
        </w:r>
      </w:hyperlink>
    </w:p>
    <w:p w:rsidR="009C0A0D" w:rsidRDefault="00000000" w14:paraId="25F31432"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795A99FA"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Что касается проекта решения КС-17, мы рекомендуем Сторонам: </w:t>
      </w:r>
    </w:p>
    <w:p w:rsidR="009C0A0D" w:rsidRDefault="009C0A0D" w14:paraId="23D20787"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4B779BB0"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текст в подпункте (а) оперативного пункта 6 проекта решения КС-17, в частности ту часть, которая посвящена целостности экосистем. </w:t>
      </w:r>
      <w:r>
        <w:rPr>
          <w:rFonts w:ascii="Twentieth Century" w:hAnsi="Twentieth Century" w:eastAsia="Twentieth Century" w:cs="Twentieth Century"/>
          <w:sz w:val="24"/>
          <w:szCs w:val="24"/>
        </w:rPr>
        <w:t xml:space="preserve">В соответствии с предложениями </w:t>
      </w:r>
      <w:hyperlink r:id="rId27">
        <w:r>
          <w:rPr>
            <w:rFonts w:ascii="Twentieth Century" w:hAnsi="Twentieth Century" w:eastAsia="Twentieth Century" w:cs="Twentieth Century"/>
            <w:color w:val="0563C1"/>
            <w:sz w:val="24"/>
            <w:szCs w:val="24"/>
            <w:u w:val="single"/>
          </w:rPr>
          <w:t xml:space="preserve">Южной Африки</w:t>
        </w:r>
      </w:hyperlink>
      <w:r>
        <w:t xml:space="preserve">, </w:t>
      </w:r>
      <w:hyperlink r:id="rId28">
        <w:r>
          <w:rPr>
            <w:rFonts w:ascii="Twentieth Century" w:hAnsi="Twentieth Century" w:eastAsia="Twentieth Century" w:cs="Twentieth Century"/>
            <w:color w:val="0563C1"/>
            <w:sz w:val="24"/>
            <w:szCs w:val="24"/>
            <w:u w:val="single"/>
          </w:rPr>
          <w:t xml:space="preserve">Колумбии</w:t>
        </w:r>
      </w:hyperlink>
      <w:r>
        <w:t xml:space="preserve"> и </w:t>
      </w:r>
      <w:hyperlink r:id="rId29">
        <w:r>
          <w:rPr>
            <w:rFonts w:ascii="Twentieth Century" w:hAnsi="Twentieth Century" w:eastAsia="Twentieth Century" w:cs="Twentieth Century"/>
            <w:color w:val="0563C1"/>
            <w:sz w:val="24"/>
            <w:szCs w:val="24"/>
            <w:u w:val="single"/>
          </w:rPr>
          <w:t xml:space="preserve">Новой Зеландии</w:t>
        </w:r>
      </w:hyperlink>
      <w:r>
        <w:rPr>
          <w:rFonts w:ascii="Twentieth Century" w:hAnsi="Twentieth Century" w:eastAsia="Twentieth Century" w:cs="Twentieth Century"/>
          <w:sz w:val="24"/>
          <w:szCs w:val="24"/>
        </w:rPr>
        <w:t xml:space="preserve"> крайне важно, чтобы целостность экосистем рассматривалась в качестве ключевого связующего звена для синергетических действий по борьбе с утратой биоразнообразия и изменением климата. Имеются очевидные доказательства того, что целостность экосистем является движущей силой функций регулирования климата и обеспечивает дополнительную отдачу от инвестиций как в меры по смягчению последствий изменения климата, так и в меры по адаптации к ним, а также в восстановление биоразнообразия. </w:t>
      </w:r>
    </w:p>
    <w:p w:rsidR="009C0A0D" w:rsidRDefault="00000000" w14:paraId="469C7A04"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70C0"/>
          <w:sz w:val="24"/>
          <w:szCs w:val="24"/>
        </w:rPr>
        <w:t xml:space="preserve">Внести поправку </w:t>
      </w:r>
      <w:r>
        <w:rPr>
          <w:rFonts w:ascii="Twentieth Century" w:hAnsi="Twentieth Century" w:eastAsia="Twentieth Century" w:cs="Twentieth Century"/>
          <w:color w:val="0070C0"/>
          <w:sz w:val="24"/>
          <w:szCs w:val="24"/>
        </w:rPr>
        <w:t xml:space="preserve">в текст пункта OP15, чтобы предложить Исполнительному секретарю учитывать многоуровневую дорожную карту при взаимодействии с партнерами в рамках других Рио-конвенций, включая РКИК ООН. </w:t>
      </w:r>
      <w:r>
        <w:rPr>
          <w:rFonts w:ascii="Twentieth Century" w:hAnsi="Twentieth Century" w:eastAsia="Twentieth Century" w:cs="Twentieth Century"/>
          <w:sz w:val="24"/>
          <w:szCs w:val="24"/>
        </w:rPr>
        <w:t xml:space="preserve">Многоуровневая дорожная карта и ее элементы обеспечивают конкретную основу для дальнейшего обсуждения между Сторонами различных Рио-конвенций, а также их руководящими органами. </w:t>
      </w:r>
    </w:p>
    <w:p w:rsidR="009C0A0D" w:rsidRDefault="009C0A0D" w14:paraId="7C01C570"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6B005FA8" w14:textId="77777777">
      <w:pPr>
        <w:pStyle w:val="Heading1"/>
        <w:rPr>
          <w:shd w:val="clear" w:color="auto" w:fill="C6C6C6"/>
        </w:rPr>
      </w:pPr>
      <w:bookmarkStart w:name="_k6m2qky3qvb7" w:colFirst="0" w:colLast="0" w:id="9"/>
      <w:bookmarkEnd w:id="9"/>
      <w:r>
        <w:t xml:space="preserve">Пункт 18(b) повестки дня: «Устойчивое управление дикой природой» </w:t>
      </w:r>
    </w:p>
    <w:p w:rsidR="009C0A0D" w:rsidRDefault="00000000" w14:paraId="0862A78C"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Проект решения КС-17: </w:t>
      </w:r>
      <w:hyperlink r:id="rId30">
        <w:r>
          <w:rPr>
            <w:rFonts w:ascii="Twentieth Century" w:hAnsi="Twentieth Century" w:eastAsia="Twentieth Century" w:cs="Twentieth Century"/>
            <w:i/>
            <w:iCs/>
            <w:color w:val="0070C0"/>
            <w:sz w:val="24"/>
            <w:szCs w:val="24"/>
            <w:u w:val="single"/>
          </w:rPr>
          <w:t xml:space="preserve">SBSTTA/REC/28/4</w:t>
        </w:r>
      </w:hyperlink>
    </w:p>
    <w:p w:rsidR="009C0A0D" w:rsidRDefault="00000000" w14:paraId="4BC24E8C"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784C1C89"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Что касается проекта решения КС-17, мы рекомендуем Сторонам: </w:t>
      </w:r>
    </w:p>
    <w:p w:rsidR="009C0A0D" w:rsidRDefault="009C0A0D" w14:paraId="1AEF9F25"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75B90D27" w14:textId="77777777">
      <w:pPr>
        <w:numPr>
          <w:ilvl w:val="0"/>
          <w:numId w:val="1"/>
        </w:numPr>
        <w:spacing w:line="240" w:lineRule="auto"/>
        <w:rPr>
          <w:rFonts w:ascii="Twentieth Century" w:hAnsi="Twentieth Century" w:eastAsia="Twentieth Century" w:cs="Twentieth Century"/>
          <w:sz w:val="20"/>
          <w:szCs w:val="20"/>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принципы и тематические области в рамках добровольных руководящих указаний, гарантируя, чтобы устойчивое использование биоразнообразия не оказывало негативного воздействия на экологическую целостность. </w:t>
      </w:r>
      <w:r>
        <w:rPr>
          <w:rFonts w:ascii="Twentieth Century" w:hAnsi="Twentieth Century" w:eastAsia="Twentieth Century" w:cs="Twentieth Century"/>
          <w:sz w:val="24"/>
          <w:szCs w:val="24"/>
        </w:rPr>
        <w:t xml:space="preserve">Фрагментарное осуществление и/или непредвиденные кумулятивные воздействия являются одной из основных причин разрушения экосистем. Тематическая область в рамках руководящих указаний, касающаяся экологической целостности, включая гарантии того, что рациональное управление дикой природой </w:t>
      </w:r>
      <w:r>
        <w:rPr>
          <w:rFonts w:ascii="Twentieth Century" w:hAnsi="Twentieth Century" w:eastAsia="Twentieth Century" w:cs="Twentieth Century"/>
          <w:i/>
          <w:iCs/>
          <w:sz w:val="24"/>
          <w:szCs w:val="24"/>
        </w:rPr>
        <w:t xml:space="preserve">«должно сохранять целостность экосистем и биоразнообразие, обеспечивая, чтобы управление не приводило к долгосрочной деградации среды обитания, утрате функций экосистем или интродукции и распространению инвазивных чужеродных видов», </w:t>
      </w:r>
      <w:r>
        <w:rPr>
          <w:rFonts w:ascii="Twentieth Century" w:hAnsi="Twentieth Century" w:eastAsia="Twentieth Century" w:cs="Twentieth Century"/>
          <w:sz w:val="24"/>
          <w:szCs w:val="24"/>
        </w:rPr>
        <w:t xml:space="preserve">является важнейшим защитным механизмом, гарантирующим, что рациональное использование будет действительно рациональным.</w:t>
      </w:r>
    </w:p>
    <w:p w:rsidR="009C0A0D" w:rsidRDefault="00000000" w14:paraId="573A92A5" w14:textId="77777777">
      <w:pPr>
        <w:numPr>
          <w:ilvl w:val="0"/>
          <w:numId w:val="1"/>
        </w:numPr>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b/>
          <w:bCs/>
          <w:color w:val="0070C0"/>
          <w:sz w:val="24"/>
          <w:szCs w:val="24"/>
        </w:rPr>
        <w:t xml:space="preserve">Внести поправку </w:t>
      </w:r>
      <w:r>
        <w:rPr>
          <w:rFonts w:ascii="Twentieth Century" w:hAnsi="Twentieth Century" w:eastAsia="Twentieth Century" w:cs="Twentieth Century"/>
          <w:color w:val="0070C0"/>
          <w:sz w:val="24"/>
          <w:szCs w:val="24"/>
        </w:rPr>
        <w:t xml:space="preserve">в текст, добавив понятие «свободного, предварительного и осознанного согласия» (FPIC) в пункт</w:t>
      </w:r>
      <w:r>
        <w:rPr>
          <w:rFonts w:ascii="Twentieth Century" w:hAnsi="Twentieth Century" w:eastAsia="Twentieth Century" w:cs="Twentieth Century"/>
          <w:color w:val="00B050"/>
          <w:sz w:val="24"/>
          <w:szCs w:val="24"/>
        </w:rPr>
        <w:t xml:space="preserve"> </w:t>
      </w:r>
      <w:r>
        <w:rPr>
          <w:rFonts w:ascii="Twentieth Century" w:hAnsi="Twentieth Century" w:eastAsia="Twentieth Century" w:cs="Twentieth Century"/>
          <w:color w:val="0070C0"/>
          <w:sz w:val="24"/>
          <w:szCs w:val="24"/>
        </w:rPr>
        <w:t xml:space="preserve">2</w:t>
      </w:r>
      <w:r>
        <w:rPr>
          <w:rFonts w:ascii="Twentieth Century" w:hAnsi="Twentieth Century" w:eastAsia="Twentieth Century" w:cs="Twentieth Century"/>
          <w:color w:val="00B050"/>
          <w:sz w:val="24"/>
          <w:szCs w:val="24"/>
        </w:rPr>
        <w:t xml:space="preserve">. </w:t>
      </w:r>
      <w:r>
        <w:rPr>
          <w:rFonts w:ascii="Twentieth Century" w:hAnsi="Twentieth Century" w:eastAsia="Twentieth Century" w:cs="Twentieth Century"/>
          <w:sz w:val="24"/>
          <w:szCs w:val="24"/>
        </w:rPr>
        <w:t xml:space="preserve">В пункте 23 добровольных глобальных руководящих принципов по устойчивому управлению дикой природой прямо указано, что процессы принятия решений должны основываться на принципе свободного, предварительного и осознанного </w:t>
      </w:r>
      <w:r>
        <w:rPr>
          <w:rFonts w:ascii="Twentieth Century" w:hAnsi="Twentieth Century" w:eastAsia="Twentieth Century" w:cs="Twentieth Century"/>
          <w:sz w:val="24"/>
          <w:szCs w:val="24"/>
        </w:rPr>
        <w:t xml:space="preserve">согласия</w:t>
      </w:r>
      <w:r>
        <w:rPr>
          <w:rFonts w:ascii="Twentieth Century" w:hAnsi="Twentieth Century" w:eastAsia="Twentieth Century" w:cs="Twentieth Century"/>
          <w:sz w:val="24"/>
          <w:szCs w:val="24"/>
        </w:rPr>
        <w:lastRenderedPageBreak/>
      </w:r>
      <w:r>
        <w:rPr>
          <w:rFonts w:ascii="Twentieth Century" w:hAnsi="Twentieth Century" w:eastAsia="Twentieth Century" w:cs="Twentieth Century"/>
          <w:sz w:val="24"/>
          <w:szCs w:val="24"/>
        </w:rPr>
        <w:t xml:space="preserve"> в соответствии со следующим: </w:t>
      </w:r>
      <w:r>
        <w:rPr>
          <w:rFonts w:ascii="Twentieth Century" w:hAnsi="Twentieth Century" w:eastAsia="Twentieth Century" w:cs="Twentieth Century"/>
          <w:i/>
          <w:iCs/>
          <w:sz w:val="24"/>
          <w:szCs w:val="24"/>
        </w:rPr>
        <w:t xml:space="preserve">«23. Процессы принятия решений, затрагивающие использование и управление дикой природой, должны руководствоваться принципом свободного, предварительного и осознанного согласия (FPIC), обеспечивая коренным народам и местным общинам возможность эффективно участвовать и принимать осознанные решения на всех этапах процессов планирования, осуществления, мониторинга и обзора». </w:t>
      </w:r>
      <w:r>
        <w:rPr>
          <w:rFonts w:ascii="Twentieth Century" w:hAnsi="Twentieth Century" w:eastAsia="Twentieth Century" w:cs="Twentieth Century"/>
          <w:sz w:val="24"/>
          <w:szCs w:val="24"/>
        </w:rPr>
        <w:t xml:space="preserve">Конкретная ссылка на принцип FPIC в контексте пункта 2 постановляющей части позволила бы включить эту важную концепцию в решение Конференции сторон (CoP) </w:t>
      </w:r>
    </w:p>
    <w:p w:rsidR="009C0A0D" w:rsidRDefault="009C0A0D" w14:paraId="7D1898FB"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3B1DB9B" w14:textId="77777777">
      <w:pPr>
        <w:pStyle w:val="Heading1"/>
        <w:rPr>
          <w:shd w:val="clear" w:color="auto" w:fill="C6C6C6"/>
        </w:rPr>
      </w:pPr>
      <w:bookmarkStart w:name="_wgymsuqvv2tw" w:colFirst="0" w:colLast="0" w:id="10"/>
      <w:bookmarkEnd w:id="10"/>
      <w:r>
        <w:t xml:space="preserve">Пункт 18(d) повестки дня: «Биоразнообразие и здоровье» </w:t>
      </w:r>
    </w:p>
    <w:p w:rsidR="009C0A0D" w:rsidRDefault="00000000" w14:paraId="49429DE7"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Проект решения КС-17: </w:t>
      </w:r>
      <w:hyperlink r:id="rId31">
        <w:r>
          <w:rPr>
            <w:rFonts w:ascii="Twentieth Century" w:hAnsi="Twentieth Century" w:eastAsia="Twentieth Century" w:cs="Twentieth Century"/>
            <w:i/>
            <w:iCs/>
            <w:color w:val="0563C1"/>
            <w:sz w:val="24"/>
            <w:szCs w:val="24"/>
            <w:u w:val="single"/>
          </w:rPr>
          <w:t xml:space="preserve">SBSTTA/REC/27/10</w:t>
        </w:r>
      </w:hyperlink>
      <w:r>
        <w:rPr>
          <w:rFonts w:ascii="Twentieth Century" w:hAnsi="Twentieth Century" w:eastAsia="Twentieth Century" w:cs="Twentieth Century"/>
          <w:sz w:val="24"/>
          <w:szCs w:val="24"/>
          <w:shd w:val="clear" w:color="auto" w:fill="C6C6C6"/>
        </w:rPr>
        <w:t xml:space="preserve"> </w:t>
      </w:r>
    </w:p>
    <w:p w:rsidR="009C0A0D" w:rsidRDefault="00000000" w14:paraId="1BB08388"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Доклад Секретариата КБР о ходе работы по вопросу «Биоразнообразие и здоровье»: </w:t>
      </w:r>
      <w:hyperlink r:id="rId32">
        <w:r>
          <w:rPr>
            <w:rFonts w:ascii="Twentieth Century" w:hAnsi="Twentieth Century" w:eastAsia="Twentieth Century" w:cs="Twentieth Century"/>
            <w:i/>
            <w:iCs/>
            <w:color w:val="0070C0"/>
            <w:sz w:val="24"/>
            <w:szCs w:val="24"/>
            <w:u w:val="single"/>
          </w:rPr>
          <w:t xml:space="preserve">COP/17/7</w:t>
        </w:r>
      </w:hyperlink>
    </w:p>
    <w:p w:rsidR="009C0A0D" w:rsidRDefault="00000000" w14:paraId="5DB2BF5D"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D642D26" w14:textId="77777777">
      <w:pPr>
        <w:shd w:val="clear" w:color="auto" w:fill="FFFFFF"/>
        <w:spacing w:line="240" w:lineRule="auto"/>
        <w:rPr>
          <w:rFonts w:ascii="Twentieth Century" w:hAnsi="Twentieth Century" w:eastAsia="Twentieth Century" w:cs="Twentieth Century"/>
          <w:i/>
          <w:iCs/>
          <w:color w:val="999999"/>
        </w:rPr>
      </w:pPr>
      <w:r>
        <w:rPr>
          <w:rFonts w:ascii="Twentieth Century" w:hAnsi="Twentieth Century" w:eastAsia="Twentieth Century" w:cs="Twentieth Century"/>
          <w:i/>
          <w:iCs/>
          <w:color w:val="999999"/>
        </w:rPr>
        <w:t xml:space="preserve">Обращаем ваше внимание: одностраничный документ, касающийся перечня показателей, приведённого в Приложении II к документу 17/7, будет размещён на </w:t>
      </w:r>
      <w:hyperlink r:id="rId33">
        <w:r>
          <w:rPr>
            <w:rFonts w:ascii="Twentieth Century" w:hAnsi="Twentieth Century" w:eastAsia="Twentieth Century" w:cs="Twentieth Century"/>
            <w:i/>
            <w:iCs/>
            <w:color w:val="999999"/>
            <w:u w:val="single"/>
          </w:rPr>
          <w:t xml:space="preserve">сайте wcs.org/cbd</w:t>
        </w:r>
      </w:hyperlink>
      <w:r>
        <w:rPr>
          <w:rFonts w:ascii="Twentieth Century" w:hAnsi="Twentieth Century" w:eastAsia="Twentieth Century" w:cs="Twentieth Century"/>
          <w:i/>
          <w:iCs/>
          <w:color w:val="999999"/>
        </w:rPr>
        <w:t xml:space="preserve">. Вместе с тем мы признаём необходимость и поддерживаем проведение экспертного семинара до следующего заседания ВНТНК в 2027/2028 годах. </w:t>
      </w:r>
    </w:p>
    <w:p w:rsidR="009C0A0D" w:rsidRDefault="009C0A0D" w14:paraId="7724E6E3"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DBA9BBB"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Что касается проекта решения КС-17, мы рекомендуем Сторонам: </w:t>
      </w:r>
    </w:p>
    <w:p w:rsidR="009C0A0D" w:rsidRDefault="009C0A0D" w14:paraId="5AF54C25"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0F7700E9"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[удалить скобки вокруг] текст в пункте 2, в котором приветствуется Соглашение ВОЗ о предотвращении пандемий, готовности к ним и реагировании на них. </w:t>
      </w:r>
      <w:r>
        <w:rPr>
          <w:rFonts w:ascii="Twentieth Century" w:hAnsi="Twentieth Century" w:eastAsia="Twentieth Century" w:cs="Twentieth Century"/>
          <w:sz w:val="24"/>
          <w:szCs w:val="24"/>
        </w:rPr>
        <w:t xml:space="preserve">Принятие Соглашения ВОЗ является знаковым соглашением, имеющим значительные последствия для управления биоразнообразием </w:t>
      </w:r>
      <w:r>
        <w:rPr>
          <w:rFonts w:ascii="Twentieth Century" w:hAnsi="Twentieth Century" w:eastAsia="Twentieth Century" w:cs="Twentieth Century"/>
          <w:sz w:val="24"/>
          <w:szCs w:val="24"/>
        </w:rPr>
        <w:t xml:space="preserve">в целях </w:t>
      </w:r>
      <w:r>
        <w:rPr>
          <w:rFonts w:ascii="Twentieth Century" w:hAnsi="Twentieth Century" w:eastAsia="Twentieth Century" w:cs="Twentieth Century"/>
          <w:sz w:val="24"/>
          <w:szCs w:val="24"/>
        </w:rPr>
        <w:t xml:space="preserve">предотвращения следующей пандемии зоонозного происхождения. Глобальный план действий был разработан таким образом, чтобы быть совместимым и дополнять мероприятия, предусмотренные в рамках Соглашения ВОЗ. Однако для обеспечения интеграции стратегий, связанных с биоразнообразием или имеющих к нему отношение, в области профилактики у источника или глубокой профилактики в национальные стратегии и планы «Единое здоровье» необходимы более активный диалог и поддержка Сторон.</w:t>
      </w:r>
    </w:p>
    <w:p w:rsidR="009C0A0D" w:rsidRDefault="00000000" w14:paraId="636A9979" w14:textId="77777777">
      <w:pPr>
        <w:numPr>
          <w:ilvl w:val="0"/>
          <w:numId w:val="2"/>
        </w:numPr>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b/>
          <w:bCs/>
          <w:color w:val="00B050"/>
          <w:sz w:val="24"/>
          <w:szCs w:val="24"/>
        </w:rPr>
        <w:t xml:space="preserve">Сохранить </w:t>
      </w:r>
      <w:r>
        <w:rPr>
          <w:rFonts w:ascii="Twentieth Century" w:hAnsi="Twentieth Century" w:eastAsia="Twentieth Century" w:cs="Twentieth Century"/>
          <w:color w:val="00B050"/>
          <w:sz w:val="24"/>
          <w:szCs w:val="24"/>
        </w:rPr>
        <w:t xml:space="preserve">[удалить скобки вокруг] текст в пункте 7 повестки дня, в частности в подпункте без скобок, в котором Секретариату предлагается обобщить информацию от Сторон об осуществлении Глобального плана действий и учете взаимосвязей между биоразнообразием и здоровьем.</w:t>
      </w:r>
      <w:r>
        <w:rPr>
          <w:rFonts w:ascii="Twentieth Century" w:hAnsi="Twentieth Century" w:eastAsia="Twentieth Century" w:cs="Twentieth Century"/>
          <w:sz w:val="24"/>
          <w:szCs w:val="24"/>
        </w:rPr>
        <w:t xml:space="preserve"> Официального механизма отчетности по Глобальному плану действий не существует, и это является важнейшим промежуточным шагом до тех пор, пока показатели и метрики не будут более полно интегрированы в процесс реализации KM-GBF и в цикл планирования, мониторинга, отчетности и обзора. </w:t>
      </w:r>
    </w:p>
    <w:sectPr w:rsidR="009C0A0D">
      <w:headerReference w:type="default" r:id="rId34"/>
      <w:headerReference w:type="first" r:id="rId3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D75FC" w:rsidRDefault="003D75FC" w14:paraId="536E82BA" w14:textId="77777777">
      <w:pPr>
        <w:spacing w:line="240" w:lineRule="auto"/>
      </w:pPr>
      <w:r>
        <w:separator/>
      </w:r>
    </w:p>
  </w:endnote>
  <w:endnote w:type="continuationSeparator" w:id="0">
    <w:p w:rsidR="003D75FC" w:rsidRDefault="003D75FC" w14:paraId="1C54FB3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embedRegular r:id="rId1" w:fontKey="{2E14507B-7A16-C849-95F1-BA2CED573463}"/>
  </w:font>
  <w:font w:name="Times New Roman">
    <w:panose1 w:val="02020603050405020304"/>
    <w:charset w:val="00"/>
    <w:family w:val="roman"/>
    <w:pitch w:val="variable"/>
    <w:sig w:usb0="E0002EFF" w:usb1="C000785B" w:usb2="00000009" w:usb3="00000000" w:csb0="000001FF" w:csb1="00000000"/>
    <w:embedRegular r:id="rId2" w:fontKey="{89764957-54A2-C34C-8AE6-4E7942CF2D24}"/>
  </w:font>
  <w:font w:name="Arial">
    <w:panose1 w:val="020B0604020202020204"/>
    <w:charset w:val="00"/>
    <w:family w:val="swiss"/>
    <w:pitch w:val="variable"/>
    <w:sig w:usb0="E0002AFF" w:usb1="C0007843" w:usb2="00000009" w:usb3="00000000" w:csb0="000001FF" w:csb1="00000000"/>
    <w:embedRegular r:id="rId3" w:fontKey="{7C1987C3-A418-EE48-9462-BC0A0C668178}"/>
    <w:embedItalic r:id="rId4" w:fontKey="{55164545-9D5B-374A-9234-1DCDF06E6C7A}"/>
  </w:font>
  <w:font w:name="Twentieth Century">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41F8F5F5-BDCF-A441-9025-F7D66A2868B0}"/>
  </w:font>
  <w:font w:name="Cambria">
    <w:panose1 w:val="02040503050406030204"/>
    <w:charset w:val="00"/>
    <w:family w:val="roman"/>
    <w:pitch w:val="variable"/>
    <w:sig w:usb0="E00006FF" w:usb1="420024FF" w:usb2="02000000" w:usb3="00000000" w:csb0="0000019F" w:csb1="00000000"/>
    <w:embedRegular r:id="rId9" w:fontKey="{FF509B26-167D-344A-ADEF-C5EDB62C5F7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D75FC" w:rsidRDefault="003D75FC" w14:paraId="09D12794" w14:textId="77777777">
      <w:pPr>
        <w:spacing w:line="240" w:lineRule="auto"/>
      </w:pPr>
      <w:r>
        <w:separator/>
      </w:r>
    </w:p>
  </w:footnote>
  <w:footnote w:type="continuationSeparator" w:id="0">
    <w:p w:rsidR="003D75FC" w:rsidRDefault="003D75FC" w14:paraId="5BD43C13"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C0A0D" w:rsidRDefault="00000000" w14:paraId="15151F6B" w14:textId="77777777">
    <w:pPr>
      <w:rPr>
        <w:rFonts w:ascii="Twentieth Century" w:hAnsi="Twentieth Century" w:eastAsia="Twentieth Century" w:cs="Twentieth Century"/>
        <w:color w:val="F9CB9C"/>
      </w:rPr>
    </w:pPr>
    <w:r>
      <w:rPr>
        <w:rFonts w:ascii="Twentieth Century" w:hAnsi="Twentieth Century" w:eastAsia="Twentieth Century" w:cs="Twentieth Century"/>
        <w:color w:val="F9CB9C"/>
      </w:rPr>
      <w:t xml:space="preserve">Обновлено: 9 сентября 2026 года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3444C9" w:rsidR="009C0A0D" w:rsidRDefault="003444C9" w14:paraId="02436478" w14:textId="2C70A13A">
    <w:pPr>
      <w:rPr>
        <w:rFonts w:ascii="Twentieth Century" w:hAnsi="Twentieth Century" w:eastAsia="Twentieth Century" w:cs="Twentieth Century"/>
        <w:color w:val="F9CB9C"/>
      </w:rPr>
    </w:pPr>
    <w:r w:rsidRPr="003444C9">
      <w:rPr>
        <w:rFonts w:ascii="Twentieth Century" w:hAnsi="Twentieth Century" w:eastAsia="Twentieth Century" w:cs="Twentieth Century"/>
        <w:color w:val="D99594" w:themeColor="accent2" w:themeTint="99"/>
      </w:rPr>
      <w:t xml:space="preserve">АВТОМАТИЧЕСКИЙ ПЕРЕВОД </w:t>
    </w:r>
    <w:r>
      <w:rPr>
        <w:rFonts w:ascii="Twentieth Century" w:hAnsi="Twentieth Century" w:eastAsia="Twentieth Century" w:cs="Twentieth Century"/>
        <w:color w:val="F9CB9C"/>
      </w:rPr>
      <w:t xml:space="preserve">— </w:t>
    </w:r>
    <w:r w:rsidR="00000000">
      <w:rPr>
        <w:rFonts w:ascii="Twentieth Century" w:hAnsi="Twentieth Century" w:eastAsia="Twentieth Century" w:cs="Twentieth Century"/>
        <w:color w:val="F9CB9C"/>
      </w:rPr>
      <w:t xml:space="preserve">Обновлено: 30 сентября 2026 года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9B1ED7"/>
    <w:multiLevelType w:val="multilevel"/>
    <w:tmpl w:val="8918EAA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7E3352"/>
    <w:multiLevelType w:val="multilevel"/>
    <w:tmpl w:val="0C0A3702"/>
    <w:lvl w:ilvl="0">
      <w:start w:val="1"/>
      <w:numFmt w:val="bullet"/>
      <w:lvlText w:val="●"/>
      <w:lvlJc w:val="left"/>
      <w:pPr>
        <w:ind w:left="720" w:hanging="360"/>
      </w:pPr>
      <w:rPr>
        <w:color w:val="000000"/>
        <w:sz w:val="20"/>
        <w:szCs w:val="2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99666910">
    <w:abstractNumId w:val="0"/>
  </w:num>
  <w:num w:numId="2" w16cid:durableId="3901592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A0D"/>
    <w:rsid w:val="003444C9"/>
    <w:rsid w:val="003D75FC"/>
    <w:rsid w:val="009C0A0D"/>
    <w:rsid w:val="009F68D8"/>
    <w:rsid w:val="00D05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CDA2E"/>
  <w15:docId w15:val="{76573B5B-35E2-214F-A712-E35A0190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FFFFFF"/>
      <w:spacing w:line="240" w:lineRule="auto"/>
      <w:outlineLvl w:val="0"/>
    </w:pPr>
    <w:rPr>
      <w:rFonts w:ascii="Twentieth Century" w:eastAsia="Twentieth Century" w:hAnsi="Twentieth Century" w:cs="Twentieth Century"/>
      <w:b/>
      <w:bCs/>
      <w:sz w:val="24"/>
      <w:szCs w:val="24"/>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444C9"/>
    <w:pPr>
      <w:tabs>
        <w:tab w:val="center" w:pos="4680"/>
        <w:tab w:val="right" w:pos="9360"/>
      </w:tabs>
      <w:spacing w:line="240" w:lineRule="auto"/>
    </w:pPr>
  </w:style>
  <w:style w:type="character" w:customStyle="1" w:styleId="HeaderChar">
    <w:name w:val="Header Char"/>
    <w:basedOn w:val="DefaultParagraphFont"/>
    <w:link w:val="Header"/>
    <w:uiPriority w:val="99"/>
    <w:rsid w:val="003444C9"/>
  </w:style>
  <w:style w:type="paragraph" w:styleId="Footer">
    <w:name w:val="footer"/>
    <w:basedOn w:val="Normal"/>
    <w:link w:val="FooterChar"/>
    <w:uiPriority w:val="99"/>
    <w:unhideWhenUsed/>
    <w:rsid w:val="003444C9"/>
    <w:pPr>
      <w:tabs>
        <w:tab w:val="center" w:pos="4680"/>
        <w:tab w:val="right" w:pos="9360"/>
      </w:tabs>
      <w:spacing w:line="240" w:lineRule="auto"/>
    </w:pPr>
  </w:style>
  <w:style w:type="character" w:customStyle="1" w:styleId="FooterChar">
    <w:name w:val="Footer Char"/>
    <w:basedOn w:val="DefaultParagraphFont"/>
    <w:link w:val="Footer"/>
    <w:uiPriority w:val="99"/>
    <w:rsid w:val="003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bd.int/doc/recommendations/sbi-07/sbi-07-rec-01-en.pdf" TargetMode="External"/><Relationship Id="rId18" Type="http://schemas.openxmlformats.org/officeDocument/2006/relationships/hyperlink" Target="https://iucn.org/resources/grey-literature/improving-outcome-based-effectiveness-assessments-protected-and-conserved" TargetMode="External"/><Relationship Id="rId26" Type="http://schemas.openxmlformats.org/officeDocument/2006/relationships/hyperlink" Target="https://www.cbd.int/doc/c/6f97/2c4f/c563b5e0b7eb92cb427f1634/cop-17-11-en.pdf" TargetMode="External"/><Relationship Id="rId21" Type="http://schemas.openxmlformats.org/officeDocument/2006/relationships/hyperlink" Target="https://www.cbd.int/doc/c/6f97/2c4f/c563b5e0b7eb92cb427f1634/cop-17-11-en.pdf"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cbd.int/doc/recommendations/sbi-07/sbi-07-rec-03-en.pdf" TargetMode="External"/><Relationship Id="rId17" Type="http://schemas.openxmlformats.org/officeDocument/2006/relationships/hyperlink" Target="https://www.cbd.int/doc/recommendations/sbi-07/sbi-07-rec-01-en.pdf" TargetMode="External"/><Relationship Id="rId25" Type="http://schemas.openxmlformats.org/officeDocument/2006/relationships/hyperlink" Target="https://www.cbd.int/doc/recommendations/sbstta-27/sbstta-27-rec-03-en.pdf" TargetMode="External"/><Relationship Id="rId33" Type="http://schemas.openxmlformats.org/officeDocument/2006/relationships/hyperlink" Target="http://wcs.org/cbd" TargetMode="External"/><Relationship Id="rId2" Type="http://schemas.openxmlformats.org/officeDocument/2006/relationships/styles" Target="styles.xml"/><Relationship Id="rId16" Type="http://schemas.openxmlformats.org/officeDocument/2006/relationships/hyperlink" Target="https://womenoceanguardians.org/" TargetMode="External"/><Relationship Id="rId20" Type="http://schemas.openxmlformats.org/officeDocument/2006/relationships/hyperlink" Target="https://www.cbd.int/doc/c/6f97/2c4f/c563b5e0b7eb92cb427f1634/cop-17-11-en.pdf" TargetMode="External"/><Relationship Id="rId29" Type="http://schemas.openxmlformats.org/officeDocument/2006/relationships/hyperlink" Target="https://s3.amazonaws.com/km.documents.attachments/33d9/402c/e0bb3caf043664a5f3c9688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recommendations/sbi-07/sbi-07-rec-02-en.pdf" TargetMode="External"/><Relationship Id="rId24" Type="http://schemas.openxmlformats.org/officeDocument/2006/relationships/hyperlink" Target="https://newsroom.wcs.org/News-Releases/articleType/ArticleView/articleId/26071/73-of-the-Worlds-Ocean-Protected-Areas-Are-Polluted-by-Sewage.aspx" TargetMode="External"/><Relationship Id="rId32" Type="http://schemas.openxmlformats.org/officeDocument/2006/relationships/hyperlink" Target="https://www.cbd.int/doc/c/8bcf/56e0/8f1260e34fb25479b9aed2c6/cop-17-07-en.pdf"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enodo.org/records/17653674" TargetMode="External"/><Relationship Id="rId23" Type="http://schemas.openxmlformats.org/officeDocument/2006/relationships/hyperlink" Target="https://www.cbd.int/doc/recommendations/sbstta-27/sbstta-27-rec-06-en.pdf" TargetMode="External"/><Relationship Id="rId28" Type="http://schemas.openxmlformats.org/officeDocument/2006/relationships/hyperlink" Target="https://s3.amazonaws.com/km.documents.attachments/1137/7f23/e7da2c596e0c73d2029517a6" TargetMode="External"/><Relationship Id="rId36" Type="http://schemas.openxmlformats.org/officeDocument/2006/relationships/fontTable" Target="fontTable.xml"/><Relationship Id="rId10" Type="http://schemas.openxmlformats.org/officeDocument/2006/relationships/hyperlink" Target="https://www.cbd.int/doc/c/1184/2cd3/45b33416ff90ca3353c32b3e/sbi-07-15-en.pdf" TargetMode="External"/><Relationship Id="rId19" Type="http://schemas.openxmlformats.org/officeDocument/2006/relationships/hyperlink" Target="https://www.cbd.int/doc/recommendations/sbi-06/sbi-06-rec-06-en.pdf" TargetMode="External"/><Relationship Id="rId31" Type="http://schemas.openxmlformats.org/officeDocument/2006/relationships/hyperlink" Target="https://www.cbd.int/doc/recommendations/sbstta-27/sbstta-27-rec-10-en.pdf" TargetMode="External"/><Relationship Id="rId4" Type="http://schemas.openxmlformats.org/officeDocument/2006/relationships/webSettings" Target="webSettings.xml"/><Relationship Id="rId9" Type="http://schemas.openxmlformats.org/officeDocument/2006/relationships/hyperlink" Target="mailto:adegemmis@wcs.org" TargetMode="External"/><Relationship Id="rId14" Type="http://schemas.openxmlformats.org/officeDocument/2006/relationships/hyperlink" Target="https://conbio.onlinelibrary.wiley.com/doi/10.1111/csp2.70189" TargetMode="External"/><Relationship Id="rId22" Type="http://schemas.openxmlformats.org/officeDocument/2006/relationships/hyperlink" Target="https://www.cbd.int/doc/recommendations/sbstta-28/sbstta-28-rec-05-en.pdf" TargetMode="External"/><Relationship Id="rId27" Type="http://schemas.openxmlformats.org/officeDocument/2006/relationships/hyperlink" Target="https://s3.amazonaws.com/km.documents.attachments/13c9/9291/fb58393780165ad2bf34abff" TargetMode="External"/><Relationship Id="rId30" Type="http://schemas.openxmlformats.org/officeDocument/2006/relationships/hyperlink" Target="https://www.cbd.int/doc/recommendations/sbstta-28/sbstta-28-rec-04-en.pdf" TargetMode="External"/><Relationship Id="rId35" Type="http://schemas.openxmlformats.org/officeDocument/2006/relationships/header" Target="header2.xml"/><Relationship Id="rId8" Type="http://schemas.openxmlformats.org/officeDocument/2006/relationships/hyperlink" Target="http://www.wcs.org"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3218</Words>
  <Characters>18346</Characters>
  <Application>Microsoft Office Word</Application>
  <DocSecurity>0</DocSecurity>
  <Lines>152</Lines>
  <Paragraphs>43</Paragraphs>
  <ScaleCrop>false</ScaleCrop>
  <Company/>
  <LinksUpToDate>false</LinksUpToDate>
  <CharactersWithSpaces>21521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lastModifiedBy>DeGemmis, Alfred</lastModifiedBy>
  <revision>3</revision>
  <dcterms:created xsi:type="dcterms:W3CDTF">2026-10-01T17:01:00.0000000Z</dcterms:created>
  <dcterms:modified xsi:type="dcterms:W3CDTF">2026-10-01T17:01:00.0000000Z</dcterms:modified>
  <keywords>, docId:8365FC42D1B336B1156A46AD5EDD0878</keywords>
</coreProperties>
</file>