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9C0A0D" w:rsidRDefault="009F68D8" w14:paraId="3516FAC1" w14:textId="18F36CDC">
      <w:pPr>
        <w:shd w:val="clear" w:color="auto" w:fill="FFFFFF"/>
        <w:spacing w:line="240" w:lineRule="auto"/>
        <w:rPr>
          <w:rFonts w:ascii="Twentieth Century" w:hAnsi="Twentieth Century" w:eastAsia="Twentieth Century" w:cs="Twentieth Century"/>
          <w:sz w:val="32"/>
          <w:szCs w:val="32"/>
          <w:shd w:val="clear" w:color="auto" w:fill="C6C6C6"/>
        </w:rPr>
      </w:pPr>
      <w:r>
        <w:rPr>
          <w:noProof/>
          <w:rtl w:val="true"/>
        </w:rPr>
        <w:drawing>
          <wp:anchor distT="0" distB="0" distL="114300" distR="114300" simplePos="0" relativeHeight="251659264" behindDoc="0" locked="0" layoutInCell="1" hidden="0" allowOverlap="1" wp14:editId="4EA7450E" wp14:anchorId="4E76EB11">
            <wp:simplePos x="0" y="0"/>
            <wp:positionH relativeFrom="column">
              <wp:posOffset>3973286</wp:posOffset>
            </wp:positionH>
            <wp:positionV relativeFrom="paragraph">
              <wp:posOffset>-141514</wp:posOffset>
            </wp:positionV>
            <wp:extent cx="1815465" cy="64751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815465" cy="647510"/>
                    </a:xfrm>
                    <a:prstGeom prst="rect">
                      <a:avLst/>
                    </a:prstGeom>
                    <a:ln/>
                  </pic:spPr>
                </pic:pic>
              </a:graphicData>
            </a:graphic>
            <wp14:sizeRelV relativeFrom="margin">
              <wp14:pctHeight>0</wp14:pctHeight>
            </wp14:sizeRelV>
          </wp:anchor>
        </w:drawing>
      </w:r>
      <w:r w:rsidR="00000000">
        <w:rPr>
          <w:rFonts w:ascii="Simplified Arabic" w:hAnsi="Simplified Arabic" w:eastAsia="Simplified Arabic" w:cs="Simplified Arabic"/>
          <w:b/>
          <w:bCs/>
          <w:sz w:val="32"/>
          <w:szCs w:val="32"/>
          <w:rtl w:val="true"/>
        </w:rPr>
        <w:t xml:space="preserve">توصيات منظمة الحفاظ على الحياة البرية (WCS) للدورة السابعة عشرة لمؤتمر الأطراف في اتفاقية التنوع البيولوجي (CBD CoP17) </w:t>
      </w:r>
    </w:p>
    <w:p w:rsidR="009C0A0D" w:rsidRDefault="009C0A0D" w14:paraId="4D9E9E9F" w14:textId="77777777">
      <w:pPr>
        <w:shd w:val="clear" w:color="auto" w:fill="FFFFFF"/>
        <w:spacing w:line="240" w:lineRule="auto"/>
        <w:rPr>
          <w:rFonts w:ascii="Twentieth Century" w:hAnsi="Twentieth Century" w:eastAsia="Twentieth Century" w:cs="Twentieth Century"/>
          <w:b/>
          <w:bCs/>
          <w:color w:val="B7B7B7"/>
          <w:sz w:val="2"/>
          <w:szCs w:val="2"/>
        </w:rPr>
      </w:pPr>
    </w:p>
    <w:p w:rsidR="009C0A0D" w:rsidRDefault="00000000" w14:paraId="593811CD" w14:textId="77777777">
      <w:pPr>
        <w:shd w:val="clear" w:color="auto" w:fill="FFFFFF"/>
        <w:spacing w:line="240" w:lineRule="auto"/>
        <w:rPr>
          <w:rFonts w:ascii="Twentieth Century" w:hAnsi="Twentieth Century" w:eastAsia="Twentieth Century" w:cs="Twentieth Century"/>
          <w:b/>
          <w:bCs/>
          <w:color w:val="B7B7B7"/>
          <w:sz w:val="26"/>
          <w:szCs w:val="26"/>
        </w:rPr>
      </w:pPr>
      <w:r>
        <w:rPr>
          <w:rFonts w:ascii="Simplified Arabic" w:hAnsi="Simplified Arabic" w:eastAsia="Simplified Arabic" w:cs="Simplified Arabic"/>
          <w:b/>
          <w:bCs/>
          <w:color w:val="B7B7B7"/>
          <w:sz w:val="26"/>
          <w:szCs w:val="26"/>
          <w:rtl w:val="true"/>
        </w:rPr>
        <w:t xml:space="preserve">يريفان، أرمينيا، 19-30 أكتوبر 2026</w:t>
      </w:r>
    </w:p>
    <w:p w:rsidR="009C0A0D" w:rsidRDefault="009C0A0D" w14:paraId="570FCFB8"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9C0A0D" w14:paraId="14A0B56A"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9C0A0D" w14:paraId="745C68BD"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000000" w14:paraId="182B1492" w14:textId="77777777">
      <w:pPr>
        <w:shd w:val="clear" w:color="auto" w:fill="FFFFFF"/>
        <w:spacing w:line="240" w:lineRule="auto"/>
        <w:rPr>
          <w:rFonts w:ascii="Twentieth Century" w:hAnsi="Twentieth Century" w:eastAsia="Twentieth Century" w:cs="Twentieth Century"/>
          <w:i/>
          <w:iCs/>
          <w:sz w:val="24"/>
          <w:szCs w:val="24"/>
        </w:rPr>
      </w:pPr>
      <w:r>
        <w:rPr>
          <w:rFonts w:ascii="Simplified Arabic" w:hAnsi="Simplified Arabic" w:eastAsia="Simplified Arabic" w:cs="Simplified Arabic"/>
          <w:i/>
          <w:iCs/>
          <w:sz w:val="24"/>
          <w:szCs w:val="24"/>
          <w:rtl w:val="true"/>
        </w:rPr>
        <w:t xml:space="preserve">ستقدم </w:t>
      </w:r>
      <w:hyperlink r:id="rId8">
        <w:r>
          <w:rPr>
            <w:rFonts w:ascii="Simplified Arabic" w:hAnsi="Simplified Arabic" w:eastAsia="Simplified Arabic" w:cs="Simplified Arabic"/>
            <w:i/>
            <w:iCs/>
            <w:color w:val="1155CC"/>
            <w:sz w:val="24"/>
            <w:szCs w:val="24"/>
            <w:u w:val="single"/>
            <w:rtl w:val="true"/>
          </w:rPr>
          <w:t xml:space="preserve">منظمة WCS</w:t>
        </w:r>
      </w:hyperlink>
      <w:r>
        <w:rPr>
          <w:rFonts w:ascii="Simplified Arabic" w:hAnsi="Simplified Arabic" w:eastAsia="Simplified Arabic" w:cs="Simplified Arabic"/>
          <w:i/>
          <w:iCs/>
          <w:sz w:val="24"/>
          <w:szCs w:val="24"/>
          <w:rtl w:val="true"/>
        </w:rPr>
        <w:t xml:space="preserve"> مواد إضافية تعطي لمحة عامة وتسلط الضوء على مشاركتنا في الدورة السابعة عشرة لمؤتمر الأطراف في اتفاقية التنوع البيولوجي. يتناول هذا المستند على وجه التحديد النص الذي ستتفاوض عليه الأطراف كجزء من جدول الأعمال الرسمي. </w:t>
      </w:r>
      <w:r>
        <w:rPr>
          <w:rFonts w:ascii="Simplified Arabic" w:hAnsi="Simplified Arabic" w:eastAsia="Simplified Arabic" w:cs="Simplified Arabic"/>
          <w:i/>
          <w:iCs/>
          <w:sz w:val="24"/>
          <w:szCs w:val="24"/>
          <w:rtl w:val="true"/>
        </w:rPr>
        <w:t xml:space="preserve">يرجى الاتصال بالسيد ألفريد ديجيميس (</w:t>
      </w:r>
      <w:hyperlink r:id="rId9">
        <w:r>
          <w:rPr>
            <w:rFonts w:ascii="Simplified Arabic" w:hAnsi="Simplified Arabic" w:eastAsia="Simplified Arabic" w:cs="Simplified Arabic"/>
            <w:i/>
            <w:iCs/>
            <w:color w:val="1155CC"/>
            <w:sz w:val="24"/>
            <w:szCs w:val="24"/>
            <w:u w:val="single"/>
            <w:rtl w:val="true"/>
          </w:rPr>
          <w:t>adegemmis@wcs.org</w:t>
        </w:r>
      </w:hyperlink>
      <w:r>
        <w:rPr>
          <w:rFonts w:ascii="Simplified Arabic" w:hAnsi="Simplified Arabic" w:eastAsia="Simplified Arabic" w:cs="Simplified Arabic"/>
          <w:i/>
          <w:iCs/>
          <w:sz w:val="24"/>
          <w:szCs w:val="24"/>
          <w:rtl w:val="true"/>
        </w:rPr>
        <w:t xml:space="preserve"> ) بخصوص هذه التوصيات. </w:t>
      </w:r>
    </w:p>
    <w:p w:rsidR="009C0A0D" w:rsidRDefault="009C0A0D" w14:paraId="47C0ECE5"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4F4CEE73" w14:textId="77777777">
      <w:pPr>
        <w:shd w:val="clear" w:color="auto" w:fill="FFFFFF"/>
        <w:spacing w:line="240" w:lineRule="auto"/>
        <w:rPr>
          <w:rFonts w:ascii="Twentieth Century" w:hAnsi="Twentieth Century" w:eastAsia="Twentieth Century" w:cs="Twentieth Century"/>
          <w:i/>
          <w:iCs/>
          <w:sz w:val="24"/>
          <w:szCs w:val="24"/>
        </w:rPr>
      </w:pPr>
      <w:r>
        <w:rPr>
          <w:rFonts w:ascii="Simplified Arabic" w:hAnsi="Simplified Arabic" w:eastAsia="Simplified Arabic" w:cs="Simplified Arabic"/>
          <w:i/>
          <w:iCs/>
          <w:sz w:val="24"/>
          <w:szCs w:val="24"/>
          <w:rtl w:val="true"/>
        </w:rPr>
        <w:t xml:space="preserve">تتوافق تعليقاتنا الواردة أدناه مع الأولويات الشاملة الموضحة في ملخصنا المكون من صفحة واحدة. </w:t>
      </w:r>
    </w:p>
    <w:p w:rsidR="009C0A0D" w:rsidRDefault="00000000" w14:paraId="556482C6"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Simplified Arabic" w:hAnsi="Simplified Arabic" w:eastAsia="Simplified Arabic" w:cs="Simplified Arabic"/>
          <w:sz w:val="21"/>
          <w:szCs w:val="21"/>
          <w:shd w:val="clear" w:color="auto" w:fill="C6C6C6"/>
          <w:rtl w:val="true"/>
        </w:rPr>
        <w:t xml:space="preserve"> </w:t>
      </w:r>
    </w:p>
    <w:p w:rsidR="009C0A0D" w:rsidRDefault="00000000" w14:paraId="0BF9CD56"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Simplified Arabic" w:hAnsi="Simplified Arabic" w:eastAsia="Simplified Arabic" w:cs="Simplified Arabic"/>
          <w:sz w:val="21"/>
          <w:szCs w:val="21"/>
          <w:shd w:val="clear" w:color="auto" w:fill="C6C6C6"/>
          <w:rtl w:val="true"/>
        </w:rPr>
        <w:t xml:space="preserve"> </w:t>
      </w:r>
    </w:p>
    <w:p w:rsidR="009C0A0D" w:rsidRDefault="00000000" w14:paraId="094702D5"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b/>
          <w:bCs/>
          <w:sz w:val="24"/>
          <w:szCs w:val="24"/>
          <w:rtl w:val="true"/>
        </w:rPr>
        <w:t xml:space="preserve">روابط سريعة، استنادًا إلى جدول أعمال الدورة السابعة عشرة لمؤتمر الأطراف:  </w:t>
      </w:r>
    </w:p>
    <w:p w:rsidR="009C0A0D" w:rsidRDefault="00000000" w14:paraId="04446DC3"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Simplified Arabic" w:hAnsi="Simplified Arabic" w:eastAsia="Simplified Arabic" w:cs="Simplified Arabic"/>
          <w:sz w:val="21"/>
          <w:szCs w:val="21"/>
          <w:shd w:val="clear" w:color="auto" w:fill="C6C6C6"/>
          <w:rtl w:val="true"/>
        </w:rPr>
        <w:t xml:space="preserve"> </w:t>
      </w:r>
    </w:p>
    <w:p w:rsidR="009C0A0D" w:rsidRDefault="00000000" w14:paraId="50339726" w14:textId="77777777">
      <w:pPr>
        <w:shd w:val="clear" w:color="auto" w:fill="FFFFFF"/>
        <w:spacing w:line="240" w:lineRule="auto"/>
        <w:ind w:start="180"/>
        <w:rPr>
          <w:rFonts w:ascii="Twentieth Century" w:hAnsi="Twentieth Century" w:eastAsia="Twentieth Century" w:cs="Twentieth Century"/>
          <w:color w:val="0070C0"/>
          <w:sz w:val="24"/>
          <w:szCs w:val="24"/>
        </w:rPr>
      </w:pPr>
      <w:r>
        <w:rPr>
          <w:rFonts w:ascii="Simplified Arabic" w:hAnsi="Simplified Arabic" w:eastAsia="Simplified Arabic" w:cs="Simplified Arabic"/>
          <w:color w:val="0070C0"/>
          <w:sz w:val="24"/>
          <w:szCs w:val="24"/>
          <w:rtl w:val="true"/>
        </w:rPr>
        <w:t xml:space="preserve">7: </w:t>
      </w:r>
      <w:r>
        <w:rPr>
          <w:rFonts w:ascii="Simplified Arabic" w:hAnsi="Simplified Arabic" w:eastAsia="Simplified Arabic" w:cs="Simplified Arabic"/>
          <w:color w:val="0070C0"/>
          <w:sz w:val="24"/>
          <w:szCs w:val="24"/>
          <w:rtl w:val="true"/>
        </w:rPr>
        <w:tab/>
      </w:r>
      <w:hyperlink w:anchor="_q7ojxhr9e27g">
        <w:r>
          <w:rPr>
            <w:rFonts w:ascii="Simplified Arabic" w:hAnsi="Simplified Arabic" w:eastAsia="Simplified Arabic" w:cs="Simplified Arabic"/>
            <w:color w:val="0070C0"/>
            <w:sz w:val="24"/>
            <w:szCs w:val="24"/>
            <w:rtl w:val="true"/>
          </w:rPr>
          <w:t xml:space="preserve">إدارة اتفاقية التنوع البيولوجي</w:t>
        </w:r>
      </w:hyperlink>
    </w:p>
    <w:p w:rsidR="009C0A0D" w:rsidRDefault="00000000" w14:paraId="663A6751"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aazxyk9a8tva">
        <w:r>
          <w:rPr>
            <w:rFonts w:ascii="Simplified Arabic" w:hAnsi="Simplified Arabic" w:eastAsia="Simplified Arabic" w:cs="Simplified Arabic"/>
            <w:color w:val="0070C0"/>
            <w:sz w:val="24"/>
            <w:szCs w:val="24"/>
            <w:rtl w:val="true"/>
          </w:rPr>
          <w:t xml:space="preserve">8أ:</w:t>
        </w:r>
        <w:r>
          <w:rPr>
            <w:rFonts w:ascii="Simplified Arabic" w:hAnsi="Simplified Arabic" w:eastAsia="Simplified Arabic" w:cs="Simplified Arabic"/>
            <w:color w:val="0070C0"/>
            <w:sz w:val="24"/>
            <w:szCs w:val="24"/>
            <w:rtl w:val="true"/>
          </w:rPr>
          <w:tab/>
        </w:r>
        <w:r>
          <w:rPr>
            <w:rFonts w:ascii="Simplified Arabic" w:hAnsi="Simplified Arabic" w:eastAsia="Simplified Arabic" w:cs="Simplified Arabic"/>
            <w:color w:val="0070C0"/>
            <w:sz w:val="24"/>
            <w:szCs w:val="24"/>
            <w:rtl w:val="true"/>
          </w:rPr>
          <w:t xml:space="preserve">تعبئة الموارد </w:t>
        </w:r>
      </w:hyperlink>
    </w:p>
    <w:p w:rsidR="009C0A0D" w:rsidRDefault="00000000" w14:paraId="699A7872" w14:textId="77777777">
      <w:pPr>
        <w:shd w:val="clear" w:color="auto" w:fill="FFFFFF"/>
        <w:spacing w:line="240" w:lineRule="auto"/>
        <w:ind w:start="180"/>
        <w:rPr>
          <w:rFonts w:ascii="Twentieth Century" w:hAnsi="Twentieth Century" w:eastAsia="Twentieth Century" w:cs="Twentieth Century"/>
          <w:color w:val="0070C0"/>
          <w:sz w:val="24"/>
          <w:szCs w:val="24"/>
        </w:rPr>
      </w:pPr>
      <w:hyperlink w:anchor="_aazxyk9a8tva">
        <w:r>
          <w:rPr>
            <w:rFonts w:ascii="Simplified Arabic" w:hAnsi="Simplified Arabic" w:eastAsia="Simplified Arabic" w:cs="Simplified Arabic"/>
            <w:color w:val="0070C0"/>
            <w:sz w:val="24"/>
            <w:szCs w:val="24"/>
            <w:rtl w:val="true"/>
          </w:rPr>
          <w:t xml:space="preserve">8أ:</w:t>
        </w:r>
        <w:r>
          <w:rPr>
            <w:rFonts w:ascii="Simplified Arabic" w:hAnsi="Simplified Arabic" w:eastAsia="Simplified Arabic" w:cs="Simplified Arabic"/>
            <w:color w:val="0070C0"/>
            <w:sz w:val="24"/>
            <w:szCs w:val="24"/>
            <w:rtl w:val="true"/>
          </w:rPr>
          <w:tab/>
        </w:r>
      </w:hyperlink>
      <w:hyperlink w:anchor="_b9ymn1mvtlvf">
        <w:r>
          <w:rPr>
            <w:rFonts w:ascii="Simplified Arabic" w:hAnsi="Simplified Arabic" w:eastAsia="Simplified Arabic" w:cs="Simplified Arabic"/>
            <w:color w:val="0070C0"/>
            <w:sz w:val="24"/>
            <w:szCs w:val="24"/>
            <w:rtl w:val="true"/>
          </w:rPr>
          <w:t xml:space="preserve">الآلية المالية</w:t>
        </w:r>
      </w:hyperlink>
    </w:p>
    <w:p w:rsidR="009C0A0D" w:rsidRDefault="00000000" w14:paraId="660BAE70" w14:textId="77777777">
      <w:pPr>
        <w:shd w:val="clear" w:color="auto" w:fill="FFFFFF"/>
        <w:spacing w:line="240" w:lineRule="auto"/>
        <w:ind w:start="180"/>
        <w:rPr>
          <w:rFonts w:ascii="Twentieth Century" w:hAnsi="Twentieth Century" w:eastAsia="Twentieth Century" w:cs="Twentieth Century"/>
          <w:color w:val="0070C0"/>
          <w:sz w:val="24"/>
          <w:szCs w:val="24"/>
        </w:rPr>
      </w:pPr>
      <w:hyperlink w:anchor="_bd98lc52bwrf">
        <w:r>
          <w:rPr>
            <w:rFonts w:ascii="Simplified Arabic" w:hAnsi="Simplified Arabic" w:eastAsia="Simplified Arabic" w:cs="Simplified Arabic"/>
            <w:color w:val="0070C0"/>
            <w:sz w:val="24"/>
            <w:szCs w:val="24"/>
            <w:rtl w:val="true"/>
          </w:rPr>
          <w:t xml:space="preserve">9أ: </w:t>
        </w:r>
        <w:r>
          <w:rPr>
            <w:rFonts w:ascii="Simplified Arabic" w:hAnsi="Simplified Arabic" w:eastAsia="Simplified Arabic" w:cs="Simplified Arabic"/>
            <w:color w:val="0070C0"/>
            <w:sz w:val="24"/>
            <w:szCs w:val="24"/>
            <w:rtl w:val="true"/>
          </w:rPr>
          <w:tab/>
        </w:r>
        <w:r>
          <w:rPr>
            <w:rFonts w:ascii="Simplified Arabic" w:hAnsi="Simplified Arabic" w:eastAsia="Simplified Arabic" w:cs="Simplified Arabic"/>
            <w:color w:val="0070C0"/>
            <w:sz w:val="24"/>
            <w:szCs w:val="24"/>
            <w:rtl w:val="true"/>
          </w:rPr>
          <w:t xml:space="preserve">استعراض عالمي للتقدم الجماعي المحرز في تنفيذ إطار العمل العالمي للمعرفة</w:t>
        </w:r>
      </w:hyperlink>
    </w:p>
    <w:p w:rsidR="009C0A0D" w:rsidRDefault="00000000" w14:paraId="692FF6A5"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fi9rlyfsjwv0">
        <w:r>
          <w:rPr>
            <w:rFonts w:ascii="Simplified Arabic" w:hAnsi="Simplified Arabic" w:eastAsia="Simplified Arabic" w:cs="Simplified Arabic"/>
            <w:color w:val="0070C0"/>
            <w:sz w:val="24"/>
            <w:szCs w:val="24"/>
            <w:rtl w:val="true"/>
          </w:rPr>
          <w:t xml:space="preserve">9 ب: </w:t>
        </w:r>
        <w:r>
          <w:rPr>
            <w:rFonts w:ascii="Simplified Arabic" w:hAnsi="Simplified Arabic" w:eastAsia="Simplified Arabic" w:cs="Simplified Arabic"/>
            <w:color w:val="0070C0"/>
            <w:sz w:val="24"/>
            <w:szCs w:val="24"/>
            <w:rtl w:val="true"/>
          </w:rPr>
          <w:tab/>
        </w:r>
        <w:r>
          <w:rPr>
            <w:rFonts w:ascii="Simplified Arabic" w:hAnsi="Simplified Arabic" w:eastAsia="Simplified Arabic" w:cs="Simplified Arabic"/>
            <w:color w:val="0070C0"/>
            <w:sz w:val="24"/>
            <w:szCs w:val="24"/>
            <w:rtl w:val="true"/>
          </w:rPr>
          <w:t xml:space="preserve">إطار الرصد الخاص بآلية كينيا-GBF</w:t>
        </w:r>
      </w:hyperlink>
      <w:hyperlink w:anchor="_fi9rlyfsjwv0">
        <w:r>
          <w:rPr>
            <w:rFonts w:ascii="Simplified Arabic" w:hAnsi="Simplified Arabic" w:eastAsia="Simplified Arabic" w:cs="Simplified Arabic"/>
            <w:color w:val="0070C0"/>
            <w:sz w:val="24"/>
            <w:szCs w:val="24"/>
            <w:shd w:val="clear" w:color="auto" w:fill="C6C6C6"/>
            <w:rtl w:val="true"/>
          </w:rPr>
          <w:t xml:space="preserve"> </w:t>
        </w:r>
      </w:hyperlink>
    </w:p>
    <w:p w:rsidR="009C0A0D" w:rsidRDefault="00000000" w14:paraId="701610B9"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8e8bffr3p28l">
        <w:r>
          <w:rPr>
            <w:rFonts w:ascii="Simplified Arabic" w:hAnsi="Simplified Arabic" w:eastAsia="Simplified Arabic" w:cs="Simplified Arabic"/>
            <w:color w:val="0070C0"/>
            <w:sz w:val="24"/>
            <w:szCs w:val="24"/>
            <w:rtl w:val="true"/>
          </w:rPr>
          <w:t xml:space="preserve">13: </w:t>
        </w:r>
        <w:r>
          <w:rPr>
            <w:rFonts w:ascii="Simplified Arabic" w:hAnsi="Simplified Arabic" w:eastAsia="Simplified Arabic" w:cs="Simplified Arabic"/>
            <w:color w:val="0070C0"/>
            <w:sz w:val="24"/>
            <w:szCs w:val="24"/>
            <w:rtl w:val="true"/>
          </w:rPr>
          <w:tab/>
        </w:r>
        <w:r>
          <w:rPr>
            <w:rFonts w:ascii="Simplified Arabic" w:hAnsi="Simplified Arabic" w:eastAsia="Simplified Arabic" w:cs="Simplified Arabic"/>
            <w:color w:val="0070C0"/>
            <w:sz w:val="24"/>
            <w:szCs w:val="24"/>
            <w:rtl w:val="true"/>
          </w:rPr>
          <w:t xml:space="preserve">التعاون مع المنظمات الدولية والاتفاقيات الأخرى</w:t>
        </w:r>
      </w:hyperlink>
      <w:hyperlink w:anchor="_8e8bffr3p28l">
        <w:r>
          <w:rPr>
            <w:rFonts w:ascii="Simplified Arabic" w:hAnsi="Simplified Arabic" w:eastAsia="Simplified Arabic" w:cs="Simplified Arabic"/>
            <w:color w:val="0070C0"/>
            <w:sz w:val="24"/>
            <w:szCs w:val="24"/>
            <w:shd w:val="clear" w:color="auto" w:fill="C6C6C6"/>
            <w:rtl w:val="true"/>
          </w:rPr>
          <w:t xml:space="preserve"> </w:t>
        </w:r>
      </w:hyperlink>
    </w:p>
    <w:p w:rsidR="009C0A0D" w:rsidRDefault="00000000" w14:paraId="198C81EB"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bvf9ngcc6ed0">
        <w:r>
          <w:rPr>
            <w:rFonts w:ascii="Simplified Arabic" w:hAnsi="Simplified Arabic" w:eastAsia="Simplified Arabic" w:cs="Simplified Arabic"/>
            <w:color w:val="0070C0"/>
            <w:sz w:val="24"/>
            <w:szCs w:val="24"/>
            <w:rtl w:val="true"/>
          </w:rPr>
          <w:t xml:space="preserve">17 أ: </w:t>
        </w:r>
        <w:r>
          <w:rPr>
            <w:rFonts w:ascii="Simplified Arabic" w:hAnsi="Simplified Arabic" w:eastAsia="Simplified Arabic" w:cs="Simplified Arabic"/>
            <w:color w:val="0070C0"/>
            <w:sz w:val="24"/>
            <w:szCs w:val="24"/>
            <w:rtl w:val="true"/>
          </w:rPr>
          <w:tab/>
        </w:r>
        <w:r>
          <w:rPr>
            <w:rFonts w:ascii="Simplified Arabic" w:hAnsi="Simplified Arabic" w:eastAsia="Simplified Arabic" w:cs="Simplified Arabic"/>
            <w:color w:val="0070C0"/>
            <w:sz w:val="24"/>
            <w:szCs w:val="24"/>
            <w:rtl w:val="true"/>
          </w:rPr>
          <w:t xml:space="preserve">المراجعة والتحليل الاستراتيجيان </w:t>
        </w:r>
        <w:r>
          <w:rPr>
            <w:rFonts w:ascii="Simplified Arabic" w:hAnsi="Simplified Arabic" w:eastAsia="Simplified Arabic" w:cs="Simplified Arabic"/>
            <w:color w:val="0070C0"/>
            <w:sz w:val="24"/>
            <w:szCs w:val="24"/>
            <w:rtl w:val="true"/>
          </w:rPr>
          <w:t xml:space="preserve">لبرامج </w:t>
        </w:r>
        <w:r>
          <w:rPr>
            <w:rFonts w:ascii="Simplified Arabic" w:hAnsi="Simplified Arabic" w:eastAsia="Simplified Arabic" w:cs="Simplified Arabic"/>
            <w:color w:val="0070C0"/>
            <w:sz w:val="24"/>
            <w:szCs w:val="24"/>
            <w:rtl w:val="true"/>
          </w:rPr>
          <w:t xml:space="preserve">العمل في إطار اتفاقية التنوع البيولوجي</w:t>
        </w:r>
      </w:hyperlink>
      <w:hyperlink w:anchor="_bvf9ngcc6ed0">
        <w:r>
          <w:rPr>
            <w:rFonts w:ascii="Simplified Arabic" w:hAnsi="Simplified Arabic" w:eastAsia="Simplified Arabic" w:cs="Simplified Arabic"/>
            <w:color w:val="0070C0"/>
            <w:sz w:val="24"/>
            <w:szCs w:val="24"/>
            <w:shd w:val="clear" w:color="auto" w:fill="C6C6C6"/>
            <w:rtl w:val="true"/>
          </w:rPr>
          <w:t xml:space="preserve"> </w:t>
        </w:r>
      </w:hyperlink>
    </w:p>
    <w:p w:rsidR="009C0A0D" w:rsidRDefault="00000000" w14:paraId="3E60DFD3"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55d2dkya2trc">
        <w:r>
          <w:rPr>
            <w:rFonts w:ascii="Simplified Arabic" w:hAnsi="Simplified Arabic" w:eastAsia="Simplified Arabic" w:cs="Simplified Arabic"/>
            <w:color w:val="0070C0"/>
            <w:sz w:val="24"/>
            <w:szCs w:val="24"/>
            <w:rtl w:val="true"/>
          </w:rPr>
          <w:t xml:space="preserve">17 ج: </w:t>
        </w:r>
        <w:r>
          <w:rPr>
            <w:rFonts w:ascii="Simplified Arabic" w:hAnsi="Simplified Arabic" w:eastAsia="Simplified Arabic" w:cs="Simplified Arabic"/>
            <w:color w:val="0070C0"/>
            <w:sz w:val="24"/>
            <w:szCs w:val="24"/>
            <w:rtl w:val="true"/>
          </w:rPr>
          <w:tab/>
        </w:r>
        <w:r>
          <w:rPr>
            <w:rFonts w:ascii="Simplified Arabic" w:hAnsi="Simplified Arabic" w:eastAsia="Simplified Arabic" w:cs="Simplified Arabic"/>
            <w:color w:val="0070C0"/>
            <w:sz w:val="24"/>
            <w:szCs w:val="24"/>
            <w:rtl w:val="true"/>
          </w:rPr>
          <w:t xml:space="preserve">الاستعراض الاستراتيجي </w:t>
        </w:r>
        <w:r>
          <w:rPr>
            <w:rFonts w:ascii="Simplified Arabic" w:hAnsi="Simplified Arabic" w:eastAsia="Simplified Arabic" w:cs="Simplified Arabic"/>
            <w:color w:val="0070C0"/>
            <w:sz w:val="24"/>
            <w:szCs w:val="24"/>
            <w:rtl w:val="true"/>
          </w:rPr>
          <w:t xml:space="preserve">لبرنامج </w:t>
        </w:r>
        <w:r>
          <w:rPr>
            <w:rFonts w:ascii="Simplified Arabic" w:hAnsi="Simplified Arabic" w:eastAsia="Simplified Arabic" w:cs="Simplified Arabic"/>
            <w:color w:val="0070C0"/>
            <w:sz w:val="24"/>
            <w:szCs w:val="24"/>
            <w:rtl w:val="true"/>
          </w:rPr>
          <w:t xml:space="preserve">العمل المتعلق بالمناطق المحمية </w:t>
        </w:r>
        <w:r>
          <w:rPr>
            <w:rFonts w:ascii="Simplified Arabic" w:hAnsi="Simplified Arabic" w:eastAsia="Simplified Arabic" w:cs="Simplified Arabic"/>
            <w:color w:val="0070C0"/>
            <w:sz w:val="24"/>
            <w:szCs w:val="24"/>
            <w:rtl w:val="true"/>
          </w:rPr>
          <w:t xml:space="preserve">وتحديثه</w:t>
        </w:r>
      </w:hyperlink>
      <w:hyperlink w:anchor="_55d2dkya2trc">
        <w:r>
          <w:rPr>
            <w:rFonts w:ascii="Simplified Arabic" w:hAnsi="Simplified Arabic" w:eastAsia="Simplified Arabic" w:cs="Simplified Arabic"/>
            <w:color w:val="0070C0"/>
            <w:sz w:val="24"/>
            <w:szCs w:val="24"/>
            <w:shd w:val="clear" w:color="auto" w:fill="C6C6C6"/>
            <w:rtl w:val="true"/>
          </w:rPr>
          <w:t xml:space="preserve"> </w:t>
        </w:r>
      </w:hyperlink>
    </w:p>
    <w:p w:rsidR="009C0A0D" w:rsidRDefault="00000000" w14:paraId="2577781F"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fqnycii1cmkc">
        <w:r>
          <w:rPr>
            <w:rFonts w:ascii="Simplified Arabic" w:hAnsi="Simplified Arabic" w:eastAsia="Simplified Arabic" w:cs="Simplified Arabic"/>
            <w:color w:val="0070C0"/>
            <w:sz w:val="24"/>
            <w:szCs w:val="24"/>
            <w:rtl w:val="true"/>
          </w:rPr>
          <w:t xml:space="preserve">17 د: </w:t>
        </w:r>
        <w:r>
          <w:rPr>
            <w:rFonts w:ascii="Simplified Arabic" w:hAnsi="Simplified Arabic" w:eastAsia="Simplified Arabic" w:cs="Simplified Arabic"/>
            <w:color w:val="0070C0"/>
            <w:sz w:val="24"/>
            <w:szCs w:val="24"/>
            <w:rtl w:val="true"/>
          </w:rPr>
          <w:tab/>
        </w:r>
        <w:r>
          <w:rPr>
            <w:rFonts w:ascii="Simplified Arabic" w:hAnsi="Simplified Arabic" w:eastAsia="Simplified Arabic" w:cs="Simplified Arabic"/>
            <w:color w:val="0070C0"/>
            <w:sz w:val="24"/>
            <w:szCs w:val="24"/>
            <w:rtl w:val="true"/>
          </w:rPr>
          <w:t xml:space="preserve">مجالات العمل الإضافي المحتملة في سياق الإطار</w:t>
        </w:r>
      </w:hyperlink>
      <w:hyperlink w:anchor="_fqnycii1cmkc">
        <w:r>
          <w:rPr>
            <w:rFonts w:ascii="Simplified Arabic" w:hAnsi="Simplified Arabic" w:eastAsia="Simplified Arabic" w:cs="Simplified Arabic"/>
            <w:color w:val="0070C0"/>
            <w:sz w:val="24"/>
            <w:szCs w:val="24"/>
            <w:shd w:val="clear" w:color="auto" w:fill="C6C6C6"/>
            <w:rtl w:val="true"/>
          </w:rPr>
          <w:t xml:space="preserve"> </w:t>
        </w:r>
      </w:hyperlink>
    </w:p>
    <w:p w:rsidR="009C0A0D" w:rsidRDefault="00000000" w14:paraId="73480843"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grh24veb2skd">
        <w:r>
          <w:rPr>
            <w:rFonts w:ascii="Simplified Arabic" w:hAnsi="Simplified Arabic" w:eastAsia="Simplified Arabic" w:cs="Simplified Arabic"/>
            <w:color w:val="0070C0"/>
            <w:sz w:val="24"/>
            <w:szCs w:val="24"/>
            <w:rtl w:val="true"/>
          </w:rPr>
          <w:t xml:space="preserve">18 أ: </w:t>
        </w:r>
        <w:r>
          <w:rPr>
            <w:rFonts w:ascii="Simplified Arabic" w:hAnsi="Simplified Arabic" w:eastAsia="Simplified Arabic" w:cs="Simplified Arabic"/>
            <w:color w:val="0070C0"/>
            <w:sz w:val="24"/>
            <w:szCs w:val="24"/>
            <w:rtl w:val="true"/>
          </w:rPr>
          <w:tab/>
        </w:r>
        <w:r>
          <w:rPr>
            <w:rFonts w:ascii="Simplified Arabic" w:hAnsi="Simplified Arabic" w:eastAsia="Simplified Arabic" w:cs="Simplified Arabic"/>
            <w:color w:val="0070C0"/>
            <w:sz w:val="24"/>
            <w:szCs w:val="24"/>
            <w:rtl w:val="true"/>
          </w:rPr>
          <w:t xml:space="preserve">التنوع البيولوجي وتغير المناخ</w:t>
        </w:r>
      </w:hyperlink>
      <w:hyperlink w:anchor="_grh24veb2skd">
        <w:r>
          <w:rPr>
            <w:rFonts w:ascii="Simplified Arabic" w:hAnsi="Simplified Arabic" w:eastAsia="Simplified Arabic" w:cs="Simplified Arabic"/>
            <w:color w:val="0070C0"/>
            <w:sz w:val="24"/>
            <w:szCs w:val="24"/>
            <w:shd w:val="clear" w:color="auto" w:fill="C6C6C6"/>
            <w:rtl w:val="true"/>
          </w:rPr>
          <w:t xml:space="preserve"> </w:t>
        </w:r>
      </w:hyperlink>
    </w:p>
    <w:p w:rsidR="009C0A0D" w:rsidRDefault="00000000" w14:paraId="2D71EBBA"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k6m2qky3qvb7">
        <w:r>
          <w:rPr>
            <w:rFonts w:ascii="Simplified Arabic" w:hAnsi="Simplified Arabic" w:eastAsia="Simplified Arabic" w:cs="Simplified Arabic"/>
            <w:color w:val="0070C0"/>
            <w:sz w:val="24"/>
            <w:szCs w:val="24"/>
            <w:rtl w:val="true"/>
          </w:rPr>
          <w:t xml:space="preserve">18 ب: </w:t>
        </w:r>
        <w:r>
          <w:rPr>
            <w:rFonts w:ascii="Simplified Arabic" w:hAnsi="Simplified Arabic" w:eastAsia="Simplified Arabic" w:cs="Simplified Arabic"/>
            <w:color w:val="0070C0"/>
            <w:sz w:val="24"/>
            <w:szCs w:val="24"/>
            <w:rtl w:val="true"/>
          </w:rPr>
          <w:tab/>
        </w:r>
        <w:r>
          <w:rPr>
            <w:rFonts w:ascii="Simplified Arabic" w:hAnsi="Simplified Arabic" w:eastAsia="Simplified Arabic" w:cs="Simplified Arabic"/>
            <w:color w:val="0070C0"/>
            <w:sz w:val="24"/>
            <w:szCs w:val="24"/>
            <w:rtl w:val="true"/>
          </w:rPr>
          <w:t xml:space="preserve">الإدارة المستدامة للحياة البرية</w:t>
        </w:r>
      </w:hyperlink>
      <w:hyperlink w:anchor="_k6m2qky3qvb7">
        <w:r>
          <w:rPr>
            <w:rFonts w:ascii="Simplified Arabic" w:hAnsi="Simplified Arabic" w:eastAsia="Simplified Arabic" w:cs="Simplified Arabic"/>
            <w:color w:val="0070C0"/>
            <w:sz w:val="24"/>
            <w:szCs w:val="24"/>
            <w:shd w:val="clear" w:color="auto" w:fill="C6C6C6"/>
            <w:rtl w:val="true"/>
          </w:rPr>
          <w:t xml:space="preserve"> </w:t>
        </w:r>
      </w:hyperlink>
    </w:p>
    <w:p w:rsidR="009C0A0D" w:rsidRDefault="00000000" w14:paraId="066CFBF1"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36f59doifjkz">
        <w:r>
          <w:rPr>
            <w:rFonts w:ascii="Simplified Arabic" w:hAnsi="Simplified Arabic" w:eastAsia="Simplified Arabic" w:cs="Simplified Arabic"/>
            <w:color w:val="0070C0"/>
            <w:sz w:val="24"/>
            <w:szCs w:val="24"/>
            <w:rtl w:val="true"/>
          </w:rPr>
          <w:t xml:space="preserve">18ج: </w:t>
        </w:r>
        <w:r>
          <w:rPr>
            <w:rFonts w:ascii="Simplified Arabic" w:hAnsi="Simplified Arabic" w:eastAsia="Simplified Arabic" w:cs="Simplified Arabic"/>
            <w:color w:val="0070C0"/>
            <w:sz w:val="24"/>
            <w:szCs w:val="24"/>
            <w:rtl w:val="true"/>
          </w:rPr>
          <w:tab/>
        </w:r>
        <w:r>
          <w:rPr>
            <w:rFonts w:ascii="Simplified Arabic" w:hAnsi="Simplified Arabic" w:eastAsia="Simplified Arabic" w:cs="Simplified Arabic"/>
            <w:color w:val="0070C0"/>
            <w:sz w:val="24"/>
            <w:szCs w:val="24"/>
            <w:rtl w:val="true"/>
          </w:rPr>
          <w:t xml:space="preserve">التنوع البيولوجي البحري والساحلي والتنوع البيولوجي في الجزر</w:t>
        </w:r>
      </w:hyperlink>
      <w:hyperlink w:anchor="_36f59doifjkz">
        <w:r>
          <w:rPr>
            <w:rFonts w:ascii="Simplified Arabic" w:hAnsi="Simplified Arabic" w:eastAsia="Simplified Arabic" w:cs="Simplified Arabic"/>
            <w:color w:val="0070C0"/>
            <w:sz w:val="24"/>
            <w:szCs w:val="24"/>
            <w:shd w:val="clear" w:color="auto" w:fill="C6C6C6"/>
            <w:rtl w:val="true"/>
          </w:rPr>
          <w:t xml:space="preserve"> </w:t>
        </w:r>
      </w:hyperlink>
    </w:p>
    <w:p w:rsidR="009C0A0D" w:rsidRDefault="00000000" w14:paraId="1E09F6F6" w14:textId="77777777">
      <w:pPr>
        <w:shd w:val="clear" w:color="auto" w:fill="FFFFFF"/>
        <w:spacing w:line="240" w:lineRule="auto"/>
        <w:ind w:start="180"/>
        <w:rPr>
          <w:rFonts w:ascii="Twentieth Century" w:hAnsi="Twentieth Century" w:eastAsia="Twentieth Century" w:cs="Twentieth Century"/>
          <w:color w:val="0070C0"/>
          <w:sz w:val="23"/>
          <w:szCs w:val="23"/>
          <w:shd w:val="clear" w:color="auto" w:fill="C6C6C6"/>
        </w:rPr>
      </w:pPr>
      <w:hyperlink w:anchor="_wgymsuqvv2tw">
        <w:r>
          <w:rPr>
            <w:rFonts w:ascii="Simplified Arabic" w:hAnsi="Simplified Arabic" w:eastAsia="Simplified Arabic" w:cs="Simplified Arabic"/>
            <w:color w:val="0070C0"/>
            <w:sz w:val="24"/>
            <w:szCs w:val="24"/>
            <w:rtl w:val="true"/>
          </w:rPr>
          <w:t xml:space="preserve">18و:</w:t>
        </w:r>
        <w:r>
          <w:rPr>
            <w:rFonts w:ascii="Simplified Arabic" w:hAnsi="Simplified Arabic" w:eastAsia="Simplified Arabic" w:cs="Simplified Arabic"/>
            <w:color w:val="0070C0"/>
            <w:sz w:val="24"/>
            <w:szCs w:val="24"/>
            <w:rtl w:val="true"/>
          </w:rPr>
          <w:tab/>
        </w:r>
        <w:r>
          <w:rPr>
            <w:rFonts w:ascii="Simplified Arabic" w:hAnsi="Simplified Arabic" w:eastAsia="Simplified Arabic" w:cs="Simplified Arabic"/>
            <w:color w:val="0070C0"/>
            <w:sz w:val="24"/>
            <w:szCs w:val="24"/>
            <w:rtl w:val="true"/>
          </w:rPr>
          <w:t xml:space="preserve">التنوع البيولوجي والصحة </w:t>
        </w:r>
      </w:hyperlink>
      <w:hyperlink w:anchor="_wgymsuqvv2tw">
        <w:r>
          <w:rPr>
            <w:rFonts w:ascii="Simplified Arabic" w:hAnsi="Simplified Arabic" w:eastAsia="Simplified Arabic" w:cs="Simplified Arabic"/>
            <w:color w:val="0070C0"/>
            <w:sz w:val="23"/>
            <w:szCs w:val="23"/>
            <w:shd w:val="clear" w:color="auto" w:fill="C6C6C6"/>
            <w:rtl w:val="true"/>
          </w:rPr>
          <w:t xml:space="preserve"> </w:t>
        </w:r>
      </w:hyperlink>
    </w:p>
    <w:p w:rsidR="009C0A0D" w:rsidRDefault="00000000" w14:paraId="7F540DDC" w14:textId="77777777">
      <w:pPr>
        <w:shd w:val="clear" w:color="auto" w:fill="FFFFFF"/>
        <w:spacing w:line="240" w:lineRule="auto"/>
        <w:rPr>
          <w:rFonts w:ascii="Twentieth Century" w:hAnsi="Twentieth Century" w:eastAsia="Twentieth Century" w:cs="Twentieth Century"/>
          <w:sz w:val="20"/>
          <w:szCs w:val="20"/>
          <w:shd w:val="clear" w:color="auto" w:fill="C6C6C6"/>
        </w:rPr>
      </w:pPr>
      <w:r>
        <w:rPr>
          <w:rFonts w:ascii="Simplified Arabic" w:hAnsi="Simplified Arabic" w:eastAsia="Simplified Arabic" w:cs="Simplified Arabic"/>
          <w:sz w:val="20"/>
          <w:szCs w:val="20"/>
          <w:shd w:val="clear" w:color="auto" w:fill="C6C6C6"/>
          <w:rtl w:val="true"/>
        </w:rPr>
        <w:t xml:space="preserve"> </w:t>
      </w:r>
    </w:p>
    <w:p w:rsidR="009C0A0D" w:rsidRDefault="00000000" w14:paraId="56A4B099" w14:textId="77777777">
      <w:pPr>
        <w:shd w:val="clear" w:color="auto" w:fill="FFFFFF"/>
        <w:spacing w:line="240" w:lineRule="auto"/>
        <w:rPr>
          <w:rFonts w:ascii="Twentieth Century" w:hAnsi="Twentieth Century" w:eastAsia="Twentieth Century" w:cs="Twentieth Century"/>
          <w:sz w:val="20"/>
          <w:szCs w:val="20"/>
          <w:shd w:val="clear" w:color="auto" w:fill="C6C6C6"/>
        </w:rPr>
      </w:pPr>
      <w:r>
        <w:rPr>
          <w:rFonts w:ascii="Simplified Arabic" w:hAnsi="Simplified Arabic" w:eastAsia="Simplified Arabic" w:cs="Simplified Arabic"/>
          <w:sz w:val="20"/>
          <w:szCs w:val="20"/>
          <w:rtl w:val="true"/>
        </w:rPr>
        <w:t xml:space="preserve">--------- </w:t>
      </w:r>
    </w:p>
    <w:p w:rsidR="009C0A0D" w:rsidRDefault="00000000" w14:paraId="0717CB35"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sz w:val="24"/>
          <w:szCs w:val="24"/>
          <w:shd w:val="clear" w:color="auto" w:fill="C6C6C6"/>
          <w:rtl w:val="true"/>
        </w:rPr>
        <w:t xml:space="preserve"> </w:t>
      </w:r>
    </w:p>
    <w:p w:rsidR="009C0A0D" w:rsidRDefault="009C0A0D" w14:paraId="36DB59C4"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180F7FCF" w14:textId="77777777">
      <w:pPr>
        <w:pStyle w:val="Heading1"/>
      </w:pPr>
      <w:bookmarkStart w:name="_q7ojxhr9e27g" w:colFirst="0" w:colLast="0" w:id="0"/>
      <w:bookmarkEnd w:id="0"/>
      <w:r>
        <w:rPr>
          <w:rtl w:val="true"/>
        </w:rPr>
        <w:t xml:space="preserve">البند 7 من جدول الأعمال: «شؤون إدارة اتفاقية التنوع البيولوجي...»</w:t>
      </w:r>
    </w:p>
    <w:p w:rsidR="009C0A0D" w:rsidRDefault="00000000" w14:paraId="25A6E63E" w14:textId="77777777">
      <w:pPr>
        <w:shd w:val="clear" w:color="auto" w:fill="FFFFFF"/>
        <w:spacing w:line="240" w:lineRule="auto"/>
        <w:rPr>
          <w:rFonts w:ascii="Twentieth Century" w:hAnsi="Twentieth Century" w:eastAsia="Twentieth Century" w:cs="Twentieth Century"/>
          <w:i/>
          <w:iCs/>
          <w:sz w:val="24"/>
          <w:szCs w:val="24"/>
        </w:rPr>
      </w:pPr>
      <w:r>
        <w:rPr>
          <w:rFonts w:ascii="Simplified Arabic" w:hAnsi="Simplified Arabic" w:eastAsia="Simplified Arabic" w:cs="Simplified Arabic"/>
          <w:i/>
          <w:iCs/>
          <w:sz w:val="24"/>
          <w:szCs w:val="24"/>
          <w:rtl w:val="true"/>
        </w:rPr>
        <w:t xml:space="preserve">مشروع القرار الحالي: </w:t>
      </w:r>
      <w:hyperlink r:id="rId10">
        <w:r>
          <w:rPr>
            <w:rFonts w:ascii="Simplified Arabic" w:hAnsi="Simplified Arabic" w:eastAsia="Simplified Arabic" w:cs="Simplified Arabic"/>
            <w:i/>
            <w:iCs/>
            <w:color w:val="1155CC"/>
            <w:sz w:val="24"/>
            <w:szCs w:val="24"/>
            <w:u w:val="single"/>
            <w:rtl w:val="true"/>
          </w:rPr>
          <w:t xml:space="preserve">CBD/COP/17/4</w:t>
        </w:r>
      </w:hyperlink>
    </w:p>
    <w:p w:rsidR="009C0A0D" w:rsidRDefault="009C0A0D" w14:paraId="0EDB9B4A"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19E1134B" w14:textId="77777777">
      <w:pPr>
        <w:shd w:val="clear" w:color="auto" w:fill="FFFFFF"/>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sz w:val="24"/>
          <w:szCs w:val="24"/>
          <w:rtl w:val="true"/>
        </w:rPr>
        <w:t xml:space="preserve">فيما يتعلق بمسودة قرار مؤتمر الأطراف السابع عشر، ملاحظة موجزة:</w:t>
      </w:r>
    </w:p>
    <w:p w:rsidR="009C0A0D" w:rsidRDefault="009C0A0D" w14:paraId="6AADDA91"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2AA6E0F7"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sz w:val="24"/>
          <w:szCs w:val="24"/>
          <w:rtl w:val="true"/>
        </w:rPr>
        <w:t xml:space="preserve">نوصي بأن تتفق الأطراف على جدول زمني لعقد ثلاثة اجتماعات بين الدورات، اجتماع واحد لكل هيئة فرعية، لتقليل تكاليف المعاملات التي تتحملها الأمانة العامة والأطراف والمراقبون.</w:t>
      </w:r>
    </w:p>
    <w:p w:rsidR="009C0A0D" w:rsidRDefault="009C0A0D" w14:paraId="5F1139F9"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2E9E1EB" w14:textId="77777777">
      <w:pPr>
        <w:pStyle w:val="Heading1"/>
        <w:rPr>
          <w:shd w:val="clear" w:color="auto" w:fill="C6C6C6"/>
        </w:rPr>
      </w:pPr>
      <w:bookmarkStart w:name="_aazxyk9a8tva" w:colFirst="0" w:colLast="0" w:id="1"/>
      <w:bookmarkEnd w:id="1"/>
      <w:r>
        <w:rPr>
          <w:rtl w:val="true"/>
        </w:rPr>
        <w:t xml:space="preserve">البند 8أ من جدول الأعمال: «تعبئة الموارد» </w:t>
      </w:r>
    </w:p>
    <w:p w:rsidR="009C0A0D" w:rsidRDefault="00000000" w14:paraId="518CD3C1" w14:textId="77777777">
      <w:pPr>
        <w:shd w:val="clear" w:color="auto" w:fill="FFFFFF"/>
        <w:spacing w:line="240" w:lineRule="auto"/>
        <w:rPr>
          <w:rFonts w:ascii="Twentieth Century" w:hAnsi="Twentieth Century" w:eastAsia="Twentieth Century" w:cs="Twentieth Century"/>
          <w:i/>
          <w:iCs/>
          <w:sz w:val="24"/>
          <w:szCs w:val="24"/>
        </w:rPr>
      </w:pPr>
      <w:r>
        <w:rPr>
          <w:rFonts w:ascii="Simplified Arabic" w:hAnsi="Simplified Arabic" w:eastAsia="Simplified Arabic" w:cs="Simplified Arabic"/>
          <w:i/>
          <w:iCs/>
          <w:sz w:val="24"/>
          <w:szCs w:val="24"/>
          <w:rtl w:val="true"/>
        </w:rPr>
        <w:t xml:space="preserve">مشروع القرار الحالي: </w:t>
      </w:r>
      <w:hyperlink r:id="rId11">
        <w:r>
          <w:rPr>
            <w:rFonts w:ascii="Simplified Arabic" w:hAnsi="Simplified Arabic" w:eastAsia="Simplified Arabic" w:cs="Simplified Arabic"/>
            <w:i/>
            <w:iCs/>
            <w:color w:val="1155CC"/>
            <w:sz w:val="24"/>
            <w:szCs w:val="24"/>
            <w:u w:val="single"/>
            <w:rtl w:val="true"/>
          </w:rPr>
          <w:t xml:space="preserve">SBI/REC/7/2</w:t>
        </w:r>
      </w:hyperlink>
    </w:p>
    <w:p w:rsidR="009C0A0D" w:rsidRDefault="009C0A0D" w14:paraId="22A475B9" w14:textId="77777777">
      <w:pPr>
        <w:spacing w:line="240" w:lineRule="auto"/>
        <w:rPr>
          <w:rFonts w:ascii="Twentieth Century" w:hAnsi="Twentieth Century" w:eastAsia="Twentieth Century" w:cs="Twentieth Century"/>
          <w:sz w:val="20"/>
          <w:szCs w:val="20"/>
          <w:shd w:val="clear" w:color="auto" w:fill="C6C6C6"/>
        </w:rPr>
      </w:pPr>
    </w:p>
    <w:p w:rsidR="009C0A0D" w:rsidRDefault="00000000" w14:paraId="1A44EF2F" w14:textId="77777777">
      <w:pPr>
        <w:shd w:val="clear" w:color="auto" w:fill="FFFFFF"/>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sz w:val="24"/>
          <w:szCs w:val="24"/>
          <w:rtl w:val="true"/>
        </w:rPr>
        <w:lastRenderedPageBreak/>
      </w:r>
      <w:r>
        <w:rPr>
          <w:rFonts w:ascii="Simplified Arabic" w:hAnsi="Simplified Arabic" w:eastAsia="Simplified Arabic" w:cs="Simplified Arabic"/>
          <w:sz w:val="24"/>
          <w:szCs w:val="24"/>
          <w:rtl w:val="true"/>
        </w:rPr>
        <w:t xml:space="preserve">فيما يتعلق بمشروع قرار مؤتمر الأطراف السابع عشر، نوصي الأطراف بما يلي: </w:t>
      </w:r>
    </w:p>
    <w:p w:rsidR="009C0A0D" w:rsidRDefault="009C0A0D" w14:paraId="6198A1A8" w14:textId="77777777">
      <w:pPr>
        <w:spacing w:line="240" w:lineRule="auto"/>
        <w:rPr>
          <w:rFonts w:ascii="Twentieth Century" w:hAnsi="Twentieth Century" w:eastAsia="Twentieth Century" w:cs="Twentieth Century"/>
          <w:sz w:val="24"/>
          <w:szCs w:val="24"/>
        </w:rPr>
      </w:pPr>
    </w:p>
    <w:p w:rsidR="009C0A0D" w:rsidRDefault="00000000" w14:paraId="377EA417"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B050"/>
          <w:sz w:val="24"/>
          <w:szCs w:val="24"/>
          <w:rtl w:val="true"/>
        </w:rPr>
        <w:t xml:space="preserve">الإبقاء على </w:t>
      </w:r>
      <w:r>
        <w:rPr>
          <w:rFonts w:ascii="Simplified Arabic" w:hAnsi="Simplified Arabic" w:eastAsia="Simplified Arabic" w:cs="Simplified Arabic"/>
          <w:color w:val="00B050"/>
          <w:sz w:val="24"/>
          <w:szCs w:val="24"/>
          <w:rtl w:val="true"/>
        </w:rPr>
        <w:t xml:space="preserve">[إزالة الأقواس من] النص الوارد في الفقرة 2 من التمهيد الذي يقر بزيادة تاريخية طويلة الأمد في التدفقات المتعلقة بالتنوع البيولوجي، لكنه يعترف بأن التمويل العام الدولي لا يزال غير كافٍ في الوقت الحالي. </w:t>
      </w:r>
      <w:r>
        <w:rPr>
          <w:rFonts w:ascii="Simplified Arabic" w:hAnsi="Simplified Arabic" w:eastAsia="Simplified Arabic" w:cs="Simplified Arabic"/>
          <w:sz w:val="24"/>
          <w:szCs w:val="24"/>
          <w:rtl w:val="true"/>
        </w:rPr>
        <w:t xml:space="preserve">ولا تزال المستويات الحالية للتمويل أقل بكثير مما هو مطلوب لتحقيق أهداف وغايات إطار </w:t>
      </w:r>
      <w:r>
        <w:rPr>
          <w:rFonts w:ascii="Simplified Arabic" w:hAnsi="Simplified Arabic" w:eastAsia="Simplified Arabic" w:cs="Simplified Arabic"/>
          <w:sz w:val="24"/>
          <w:szCs w:val="24"/>
          <w:rtl w:val="true"/>
        </w:rPr>
        <w:t xml:space="preserve">العمل العالمي للتنوع البيولوجي (KM-GBF)</w:t>
      </w:r>
      <w:r>
        <w:rPr>
          <w:rFonts w:ascii="Simplified Arabic" w:hAnsi="Simplified Arabic" w:eastAsia="Simplified Arabic" w:cs="Simplified Arabic"/>
          <w:sz w:val="24"/>
          <w:szCs w:val="24"/>
          <w:rtl w:val="true"/>
        </w:rPr>
        <w:t xml:space="preserve">، ويكون هذا النقص حاداً بشكل خاص بالنسبة لأقل البلدان نمواً والدول الجزرية الصغيرة النامية التي تضم تنوعاً بيولوجياً ذا أهمية عالمية. ولا ينبغي أن تحول التدفقات العامة المستدامة والمتزايدة دون قيام مؤتمر الأطراف باعتماد دعوات أخرى تتعلق بجميع البلدان لتصحيح السياسات والحوافز المالية (انظر أدناه)، وتحرير تمويل محلي جديد لتجاوز دورة المشاريع، وتحرير تمويل جديد وإضافي من القطاع الخاص من خلال برامج قائمة على الأدلة. </w:t>
      </w:r>
    </w:p>
    <w:p w:rsidR="009C0A0D" w:rsidRDefault="00000000" w14:paraId="1069DC14"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563C1"/>
          <w:sz w:val="24"/>
          <w:szCs w:val="24"/>
          <w:rtl w:val="true"/>
        </w:rPr>
        <w:t xml:space="preserve">إضافة </w:t>
      </w:r>
      <w:r>
        <w:rPr>
          <w:rFonts w:ascii="Simplified Arabic" w:hAnsi="Simplified Arabic" w:eastAsia="Simplified Arabic" w:cs="Simplified Arabic"/>
          <w:color w:val="0563C1"/>
          <w:sz w:val="24"/>
          <w:szCs w:val="24"/>
          <w:rtl w:val="true"/>
        </w:rPr>
        <w:t xml:space="preserve">نص إلى هذا القرار يتعلق بالهدف الفرعي 18، يدعو إلى إصلاح الحوافز الضارة وإعادة توجيهها وإلغائها، بما في ذلك الإعانات الضارة بالبيئة.</w:t>
      </w:r>
      <w:r>
        <w:rPr>
          <w:rFonts w:ascii="Simplified Arabic" w:hAnsi="Simplified Arabic" w:eastAsia="Simplified Arabic" w:cs="Simplified Arabic"/>
          <w:sz w:val="24"/>
          <w:szCs w:val="24"/>
          <w:rtl w:val="true"/>
        </w:rPr>
        <w:t xml:space="preserve"> غالبًا ما تتجاوز النفقات العامة التي تحفز فقدان التنوع البيولوجي الاستثمارات الموجهة نحو حفظ التنوع البيولوجي واستخدامه المستدام. ويمكن أن يؤدي إصلاح الحوافز الضارة وإعادة توجيهها وإلغاؤها، بما في ذلك الإعانات الضارة بالبيئة، إلى تحقيق فوائد كبيرة من خلال تقليل الضغوط على الطبيعة مع توفير الموارد العامة في الوقت نفسه للاستثمارات الإيجابية للتنوع البيولوجي. ويجب التأكيد على ذلك كجزء من حزمة كاملة بشأن تعبئة الموارد. </w:t>
      </w:r>
    </w:p>
    <w:p w:rsidR="009C0A0D" w:rsidRDefault="00000000" w14:paraId="482C96F3" w14:textId="77777777">
      <w:pPr>
        <w:pStyle w:val="Heading1"/>
        <w:rPr>
          <w:shd w:val="clear" w:color="auto" w:fill="C6C6C6"/>
        </w:rPr>
      </w:pPr>
      <w:bookmarkStart w:name="_b9ymn1mvtlvf" w:colFirst="0" w:colLast="0" w:id="2"/>
      <w:bookmarkEnd w:id="2"/>
      <w:r>
        <w:rPr>
          <w:rtl w:val="true"/>
        </w:rPr>
        <w:br/>
      </w:r>
      <w:r>
        <w:rPr>
          <w:rtl w:val="true"/>
        </w:rPr>
        <w:t xml:space="preserve">البند 8(ب) من جدول الأعمال: «الآلية المالية»</w:t>
      </w:r>
      <w:r>
        <w:rPr>
          <w:shd w:val="clear" w:color="auto" w:fill="C6C6C6"/>
          <w:rtl w:val="true"/>
        </w:rPr>
        <w:t xml:space="preserve"> </w:t>
      </w:r>
    </w:p>
    <w:p w:rsidR="009C0A0D" w:rsidRDefault="00000000" w14:paraId="71A7BE24" w14:textId="77777777">
      <w:pPr>
        <w:shd w:val="clear" w:color="auto" w:fill="FFFFFF"/>
        <w:spacing w:line="240" w:lineRule="auto"/>
        <w:rPr>
          <w:rFonts w:ascii="Twentieth Century" w:hAnsi="Twentieth Century" w:eastAsia="Twentieth Century" w:cs="Twentieth Century"/>
          <w:i/>
          <w:iCs/>
          <w:sz w:val="24"/>
          <w:szCs w:val="24"/>
        </w:rPr>
      </w:pPr>
      <w:r>
        <w:rPr>
          <w:rFonts w:ascii="Simplified Arabic" w:hAnsi="Simplified Arabic" w:eastAsia="Simplified Arabic" w:cs="Simplified Arabic"/>
          <w:i/>
          <w:iCs/>
          <w:sz w:val="24"/>
          <w:szCs w:val="24"/>
          <w:rtl w:val="true"/>
        </w:rPr>
        <w:t xml:space="preserve">مشروع القرار الحالي: </w:t>
      </w:r>
      <w:hyperlink r:id="rId12">
        <w:r>
          <w:rPr>
            <w:rFonts w:ascii="Simplified Arabic" w:hAnsi="Simplified Arabic" w:eastAsia="Simplified Arabic" w:cs="Simplified Arabic"/>
            <w:i/>
            <w:iCs/>
            <w:color w:val="1155CC"/>
            <w:sz w:val="24"/>
            <w:szCs w:val="24"/>
            <w:u w:val="single"/>
            <w:rtl w:val="true"/>
          </w:rPr>
          <w:t xml:space="preserve">SBI/REC/7/3</w:t>
        </w:r>
      </w:hyperlink>
    </w:p>
    <w:p w:rsidR="009C0A0D" w:rsidRDefault="009C0A0D" w14:paraId="4B36716D" w14:textId="77777777">
      <w:pPr>
        <w:spacing w:line="240" w:lineRule="auto"/>
        <w:rPr>
          <w:rFonts w:ascii="Twentieth Century" w:hAnsi="Twentieth Century" w:eastAsia="Twentieth Century" w:cs="Twentieth Century"/>
          <w:sz w:val="20"/>
          <w:szCs w:val="20"/>
          <w:shd w:val="clear" w:color="auto" w:fill="C6C6C6"/>
        </w:rPr>
      </w:pPr>
    </w:p>
    <w:p w:rsidR="009C0A0D" w:rsidRDefault="00000000" w14:paraId="02AA304D" w14:textId="77777777">
      <w:pPr>
        <w:shd w:val="clear" w:color="auto" w:fill="FFFFFF"/>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sz w:val="24"/>
          <w:szCs w:val="24"/>
          <w:rtl w:val="true"/>
        </w:rPr>
        <w:t xml:space="preserve">فيما يتعلق بمشروع قرار مؤتمر الأطراف السابع عشر، نوصي الأطراف بما يلي: </w:t>
      </w:r>
    </w:p>
    <w:p w:rsidR="009C0A0D" w:rsidRDefault="00000000" w14:paraId="560BBB4F"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sz w:val="24"/>
          <w:szCs w:val="24"/>
          <w:shd w:val="clear" w:color="auto" w:fill="C6C6C6"/>
          <w:rtl w:val="true"/>
        </w:rPr>
        <w:t xml:space="preserve"> </w:t>
      </w:r>
    </w:p>
    <w:p w:rsidR="009C0A0D" w:rsidRDefault="00000000" w14:paraId="1B1DAE87"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B050"/>
          <w:sz w:val="24"/>
          <w:szCs w:val="24"/>
          <w:rtl w:val="true"/>
        </w:rPr>
        <w:t xml:space="preserve">الإبقاء على </w:t>
      </w:r>
      <w:r>
        <w:rPr>
          <w:rFonts w:ascii="Simplified Arabic" w:hAnsi="Simplified Arabic" w:eastAsia="Simplified Arabic" w:cs="Simplified Arabic"/>
          <w:color w:val="00B050"/>
          <w:sz w:val="24"/>
          <w:szCs w:val="24"/>
          <w:rtl w:val="true"/>
        </w:rPr>
        <w:t xml:space="preserve">[إزالة الأقواس من] النص الوارد في الفقرة التمهيدية 11: «مع تيسير المشاركة الكاملة والفعالة للشعوب الأصلية والمجتمعات المحلية والنساء والشباب». </w:t>
      </w:r>
      <w:r>
        <w:rPr>
          <w:rFonts w:ascii="Simplified Arabic" w:hAnsi="Simplified Arabic" w:eastAsia="Simplified Arabic" w:cs="Simplified Arabic"/>
          <w:color w:val="242424"/>
          <w:sz w:val="24"/>
          <w:szCs w:val="24"/>
          <w:rtl w:val="true"/>
        </w:rPr>
        <w:t xml:space="preserve"> وتنص الفقرة 4(ل) من المقرر 16/34 على الإجراء التمكيني المتمثل في «ضمان التمثيل والمشاركة الكاملين والعادلين والشاملين والفعالين والمراعي للمنظور الجنساني للشعوب الأصلية والمجتمعات المحلية والنساء والشباب في عملية صنع القرار». </w:t>
      </w:r>
    </w:p>
    <w:p w:rsidR="009C0A0D" w:rsidRDefault="00000000" w14:paraId="5CBD3FF1" w14:textId="77777777">
      <w:pPr>
        <w:numPr>
          <w:ilvl w:val="0"/>
          <w:numId w:val="2"/>
        </w:numPr>
        <w:spacing w:line="240" w:lineRule="auto"/>
        <w:rPr>
          <w:rFonts w:ascii="Twentieth Century" w:hAnsi="Twentieth Century" w:eastAsia="Twentieth Century" w:cs="Twentieth Century"/>
          <w:color w:val="242424"/>
        </w:rPr>
      </w:pPr>
      <w:r>
        <w:rPr>
          <w:rFonts w:ascii="Simplified Arabic" w:hAnsi="Simplified Arabic" w:eastAsia="Simplified Arabic" w:cs="Simplified Arabic"/>
          <w:b/>
          <w:bCs/>
          <w:color w:val="00B050"/>
          <w:sz w:val="24"/>
          <w:szCs w:val="24"/>
          <w:rtl w:val="true"/>
        </w:rPr>
        <w:t xml:space="preserve">الإبقاء على </w:t>
      </w:r>
      <w:r>
        <w:rPr>
          <w:rFonts w:ascii="Simplified Arabic" w:hAnsi="Simplified Arabic" w:eastAsia="Simplified Arabic" w:cs="Simplified Arabic"/>
          <w:color w:val="00B050"/>
          <w:sz w:val="24"/>
          <w:szCs w:val="24"/>
          <w:rtl w:val="true"/>
        </w:rPr>
        <w:t xml:space="preserve">[إزالة الأقواس من] النص الوارد في الفقرة 12(و) من الجزء التشغيلي بشأن طرائق الوصول المباشر المخصصة. </w:t>
      </w:r>
      <w:r>
        <w:rPr>
          <w:rFonts w:ascii="Simplified Arabic" w:hAnsi="Simplified Arabic" w:eastAsia="Simplified Arabic" w:cs="Simplified Arabic"/>
          <w:color w:val="242424"/>
          <w:sz w:val="24"/>
          <w:szCs w:val="24"/>
          <w:rtl w:val="true"/>
        </w:rPr>
        <w:t xml:space="preserve">بالإضافة إلى المنظمات الوسيطة التي توجه الأموال إلى المجتمعات المحلية، من المهم أن ييسر مرفق البيئة العالمية إجراءات مبسطة ويدعم الشعوب الأصلية والمجتمعات المحلية بشكل مباشر.  هناك نظام بيئي متوسع من الصناديق التي تقودها الشعوب الأصلية والصناديق الإقليمية التي فتحت خيارات استراتيجية جديدة للمانحين وتقدم للمجتمعات المحلية مسارات تمويلية صممتها وتديرها حركاتها الخاصة، ومع ذلك فإن التمويل الموجه مباشرة إلى هذه المنظمات والمنظمات الإقليمية لا يزال ضئيلاً للغاية. </w:t>
      </w:r>
    </w:p>
    <w:p w:rsidR="009C0A0D" w:rsidRDefault="009C0A0D" w14:paraId="634AE4A7" w14:textId="77777777">
      <w:pPr>
        <w:spacing w:line="240" w:lineRule="auto"/>
        <w:ind w:start="720"/>
        <w:rPr>
          <w:rFonts w:ascii="Twentieth Century" w:hAnsi="Twentieth Century" w:eastAsia="Twentieth Century" w:cs="Twentieth Century"/>
          <w:color w:val="242424"/>
          <w:sz w:val="24"/>
          <w:szCs w:val="24"/>
        </w:rPr>
      </w:pPr>
    </w:p>
    <w:p w:rsidR="009C0A0D" w:rsidRDefault="00000000" w14:paraId="4B32CE48" w14:textId="77777777">
      <w:pPr>
        <w:pStyle w:val="Heading1"/>
        <w:rPr>
          <w:shd w:val="clear" w:color="auto" w:fill="C6C6C6"/>
        </w:rPr>
      </w:pPr>
      <w:bookmarkStart w:name="_bd98lc52bwrf" w:colFirst="0" w:colLast="0" w:id="3"/>
      <w:bookmarkEnd w:id="3"/>
      <w:r>
        <w:rPr>
          <w:rtl w:val="true"/>
        </w:rPr>
        <w:t xml:space="preserve">البند 9(أ) من جدول الأعمال: «التخطيط والرصد وإعداد التقارير والاستعراض: الاستعراض العالمي للتقدم الجماعي المحرز في تنفيذ إطار كونمينغ-مونتريال العالمي للتنوع البيولوجي» </w:t>
      </w:r>
    </w:p>
    <w:p w:rsidR="009C0A0D" w:rsidRDefault="00000000" w14:paraId="77208468" w14:textId="77777777">
      <w:pPr>
        <w:shd w:val="clear" w:color="auto" w:fill="FFFFFF"/>
        <w:spacing w:line="240" w:lineRule="auto"/>
        <w:rPr>
          <w:rFonts w:ascii="Twentieth Century" w:hAnsi="Twentieth Century" w:eastAsia="Twentieth Century" w:cs="Twentieth Century"/>
          <w:i/>
          <w:iCs/>
          <w:sz w:val="24"/>
          <w:szCs w:val="24"/>
        </w:rPr>
      </w:pPr>
      <w:r>
        <w:rPr>
          <w:rFonts w:ascii="Simplified Arabic" w:hAnsi="Simplified Arabic" w:eastAsia="Simplified Arabic" w:cs="Simplified Arabic"/>
          <w:i/>
          <w:iCs/>
          <w:sz w:val="24"/>
          <w:szCs w:val="24"/>
          <w:rtl w:val="true"/>
        </w:rPr>
        <w:t xml:space="preserve">مشروع القرار الحالي: </w:t>
      </w:r>
      <w:hyperlink r:id="rId13">
        <w:r>
          <w:rPr>
            <w:rFonts w:ascii="Simplified Arabic" w:hAnsi="Simplified Arabic" w:eastAsia="Simplified Arabic" w:cs="Simplified Arabic"/>
            <w:i/>
            <w:iCs/>
            <w:color w:val="1155CC"/>
            <w:sz w:val="24"/>
            <w:szCs w:val="24"/>
            <w:u w:val="single"/>
            <w:rtl w:val="true"/>
          </w:rPr>
          <w:t xml:space="preserve">SBI/REC/7/1</w:t>
        </w:r>
      </w:hyperlink>
      <w:r>
        <w:rPr>
          <w:rFonts w:ascii="Simplified Arabic" w:hAnsi="Simplified Arabic" w:eastAsia="Simplified Arabic" w:cs="Simplified Arabic"/>
          <w:i/>
          <w:iCs/>
          <w:sz w:val="24"/>
          <w:szCs w:val="24"/>
          <w:rtl w:val="true"/>
        </w:rPr>
        <w:t xml:space="preserve"> [الجزء أ]</w:t>
      </w:r>
    </w:p>
    <w:p w:rsidR="009C0A0D" w:rsidRDefault="009C0A0D" w14:paraId="35848B55"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38E217F7" w14:textId="77777777">
      <w:pPr>
        <w:shd w:val="clear" w:color="auto" w:fill="FFFFFF"/>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sz w:val="24"/>
          <w:szCs w:val="24"/>
          <w:rtl w:val="true"/>
        </w:rPr>
        <w:t xml:space="preserve">فيما يتعلق بمشروع قرار مؤتمر الأطراف السابع عشر، نوصي الأطراف بما يلي: </w:t>
      </w:r>
    </w:p>
    <w:p w:rsidR="009C0A0D" w:rsidRDefault="009C0A0D" w14:paraId="54BE41A3" w14:textId="77777777">
      <w:pPr>
        <w:spacing w:line="240" w:lineRule="auto"/>
        <w:rPr>
          <w:rFonts w:ascii="Twentieth Century" w:hAnsi="Twentieth Century" w:eastAsia="Twentieth Century" w:cs="Twentieth Century"/>
          <w:sz w:val="24"/>
          <w:szCs w:val="24"/>
        </w:rPr>
      </w:pPr>
    </w:p>
    <w:p w:rsidR="009C0A0D" w:rsidRDefault="00000000" w14:paraId="21E8DB11"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B050"/>
          <w:sz w:val="24"/>
          <w:szCs w:val="24"/>
          <w:rtl w:val="true"/>
        </w:rPr>
        <w:t xml:space="preserve">الإبقاء على </w:t>
      </w:r>
      <w:r>
        <w:rPr>
          <w:rFonts w:ascii="Simplified Arabic" w:hAnsi="Simplified Arabic" w:eastAsia="Simplified Arabic" w:cs="Simplified Arabic"/>
          <w:color w:val="00B050"/>
          <w:sz w:val="24"/>
          <w:szCs w:val="24"/>
          <w:rtl w:val="true"/>
        </w:rPr>
        <w:t xml:space="preserve">[إزالة الأقواس من] النص الوارد في الفقرة 22 من التمهيد (الأصل) الذي يشجع الأطراف أو يدعوها إلى تعزيز نطاق وتغطية الالتزامات الوطنية، على وجه التحديد لمعالجة الثغرات الرئيسية. </w:t>
      </w:r>
      <w:r>
        <w:rPr>
          <w:rFonts w:ascii="Simplified Arabic" w:hAnsi="Simplified Arabic" w:eastAsia="Simplified Arabic" w:cs="Simplified Arabic"/>
          <w:sz w:val="24"/>
          <w:szCs w:val="24"/>
          <w:rtl w:val="true"/>
        </w:rPr>
        <w:t xml:space="preserve">وحيثما أشار الاستعراض العالمي إلى ثغرات رئيسية في ترجمة المفاهيم الرئيسية الواردة في الأهداف العالمية — مثل منع انتشار مسببات الأمراض في إطار الهدف 5 — إلى أهداف وطنية، فقد تكون تلك المعلومات مفيدة للأطراف في تقديم تحديثات اختيارية/طوعية للأهداف الوطنية. نرحب بالإشارة - الموضوعة حالياً بين قوسين - إلى الحاجة إلى معالجة الثغرات القائمة في تنفيذ «إدارة المعرفة - الإطار العالمي للتنوع البيولوجي» في النظم الإيكولوجية البحرية، لكننا نرغب في موازنة ذلك مع فرصة معالجة الثغرات الأخرى التي تم تحديدها في الاستعراض العالمي ولكنها لم تُدرج في القائمة المختصرة للأهداف. </w:t>
      </w:r>
    </w:p>
    <w:p w:rsidR="009C0A0D" w:rsidRDefault="00000000" w14:paraId="7D28CE46"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B050"/>
          <w:sz w:val="24"/>
          <w:szCs w:val="24"/>
          <w:rtl w:val="true"/>
        </w:rPr>
        <w:t xml:space="preserve">الإبقاء </w:t>
      </w:r>
      <w:r>
        <w:rPr>
          <w:rFonts w:ascii="Simplified Arabic" w:hAnsi="Simplified Arabic" w:eastAsia="Simplified Arabic" w:cs="Simplified Arabic"/>
          <w:color w:val="00B050"/>
          <w:sz w:val="24"/>
          <w:szCs w:val="24"/>
          <w:rtl w:val="true"/>
        </w:rPr>
        <w:t xml:space="preserve">على [إزالة الأقواس من] </w:t>
      </w:r>
      <w:r>
        <w:rPr>
          <w:rFonts w:ascii="Simplified Arabic" w:hAnsi="Simplified Arabic" w:eastAsia="Simplified Arabic" w:cs="Simplified Arabic"/>
          <w:color w:val="00B050"/>
          <w:sz w:val="24"/>
          <w:szCs w:val="24"/>
          <w:rtl w:val="true"/>
        </w:rPr>
        <w:t xml:space="preserve">النص الوارد في الفقرة 39 من التوصيات التشغيلية الذي يشجع الأطراف على وضع خرائط وطنية للنظم الإيكولوجية. </w:t>
      </w:r>
      <w:r>
        <w:rPr>
          <w:rFonts w:ascii="Simplified Arabic" w:hAnsi="Simplified Arabic" w:eastAsia="Simplified Arabic" w:cs="Simplified Arabic"/>
          <w:sz w:val="24"/>
          <w:szCs w:val="24"/>
          <w:rtl w:val="true"/>
        </w:rPr>
        <w:t xml:space="preserve">فالنظم الإيكولوجية هي تعبير حاسم عن التنوع البيولوجي وتوفر رابطًا واضحًا مع المنتديات السياساتية خارج اتفاقية التنوع البيولوجي. ونؤيد الإبقاء على النص الموضوع بين قوسين في الفقرة 39 من التوصيات التشغيلية، الذي يشجع الأطراف على وضع خرائط وطنية للنظم الإيكولوجية يمكن استخلاص البيانات والتحليلات الأخرى منها أو بناءها عليها. ويأتي هذا أيضًا استجابةً للرسالة الرئيسية A.4 من التقرير العالمي، التي تنص على أن </w:t>
      </w:r>
      <w:r>
        <w:rPr>
          <w:rFonts w:ascii="Simplified Arabic" w:hAnsi="Simplified Arabic" w:eastAsia="Simplified Arabic" w:cs="Simplified Arabic"/>
          <w:i/>
          <w:iCs/>
          <w:sz w:val="24"/>
          <w:szCs w:val="24"/>
          <w:rtl w:val="true"/>
        </w:rPr>
        <w:t xml:space="preserve">«التخطيط المكاني، على النحو المبين في الهدف 1 من الإطار... يمكن أن يوفر أساسًا لبناء التماسك السياساتي وتعميم </w:t>
      </w:r>
      <w:r>
        <w:rPr>
          <w:rFonts w:ascii="Simplified Arabic" w:hAnsi="Simplified Arabic" w:eastAsia="Simplified Arabic" w:cs="Simplified Arabic"/>
          <w:sz w:val="24"/>
          <w:szCs w:val="24"/>
          <w:rtl w:val="true"/>
        </w:rPr>
        <w:t xml:space="preserve">النهج». </w:t>
      </w:r>
      <w:r>
        <w:rPr>
          <w:rFonts w:ascii="Simplified Arabic" w:hAnsi="Simplified Arabic" w:eastAsia="Simplified Arabic" w:cs="Simplified Arabic"/>
          <w:sz w:val="24"/>
          <w:szCs w:val="24"/>
          <w:rtl w:val="true"/>
        </w:rPr>
        <w:t xml:space="preserve">وقد مكنت </w:t>
      </w:r>
      <w:r>
        <w:rPr>
          <w:rFonts w:ascii="Simplified Arabic" w:hAnsi="Simplified Arabic" w:eastAsia="Simplified Arabic" w:cs="Simplified Arabic"/>
          <w:sz w:val="24"/>
          <w:szCs w:val="24"/>
          <w:rtl w:val="true"/>
        </w:rPr>
        <w:t xml:space="preserve">تجربتنا في دعم الشركاء في موزمبيق </w:t>
      </w:r>
      <w:hyperlink r:id="rId14">
        <w:r>
          <w:rPr>
            <w:rFonts w:ascii="Simplified Arabic" w:hAnsi="Simplified Arabic" w:eastAsia="Simplified Arabic" w:cs="Simplified Arabic"/>
            <w:color w:val="1155CC"/>
            <w:sz w:val="24"/>
            <w:szCs w:val="24"/>
            <w:u w:val="single"/>
            <w:rtl w:val="true"/>
          </w:rPr>
          <w:t xml:space="preserve">للقيام</w:t>
        </w:r>
      </w:hyperlink>
      <w:r>
        <w:rPr>
          <w:rFonts w:ascii="Simplified Arabic" w:hAnsi="Simplified Arabic" w:eastAsia="Simplified Arabic" w:cs="Simplified Arabic"/>
          <w:sz w:val="24"/>
          <w:szCs w:val="24"/>
          <w:rtl w:val="true"/>
        </w:rPr>
        <w:t xml:space="preserve"> برسم خرائط النظم الإيكولوجية على نطاق وطني من اتخاذ إجراءات حفظ هامة كانت ستكون صعبة لولا ذلك، بما في ذلك تحديد النظم الإيكولوجية عالية النزاهة بما يتماشى مع الهدف 1 من إطار العمل العالمي للتنوع البيولوجي (KM-GBF). </w:t>
      </w:r>
    </w:p>
    <w:p w:rsidR="009C0A0D" w:rsidRDefault="00000000" w14:paraId="217E4EFD"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B050"/>
          <w:sz w:val="24"/>
          <w:szCs w:val="24"/>
          <w:rtl w:val="true"/>
        </w:rPr>
        <w:t xml:space="preserve">الإبقاء على </w:t>
      </w:r>
      <w:r>
        <w:rPr>
          <w:rFonts w:ascii="Simplified Arabic" w:hAnsi="Simplified Arabic" w:eastAsia="Simplified Arabic" w:cs="Simplified Arabic"/>
          <w:color w:val="00B050"/>
          <w:sz w:val="24"/>
          <w:szCs w:val="24"/>
          <w:rtl w:val="true"/>
        </w:rPr>
        <w:t xml:space="preserve">النص الوارد في الفقرة التشغيلية 32 للحفاظ على الزخم المتعلق بتماسك السياسات والتنفيذ التآزري. </w:t>
      </w:r>
      <w:r>
        <w:rPr>
          <w:rFonts w:ascii="Simplified Arabic" w:hAnsi="Simplified Arabic" w:eastAsia="Simplified Arabic" w:cs="Simplified Arabic"/>
          <w:sz w:val="24"/>
          <w:szCs w:val="24"/>
          <w:rtl w:val="true"/>
        </w:rPr>
        <w:t xml:space="preserve">وتشير الأدلة العلمية بوضوح إلى أن أهداف التنوع البيولوجي والمناخ مترابطة، ولا يمكن تحقيق أي أهداف لأي اتفاقية فردية متعلقة بالتنوع البيولوجي في فراغ. وتستجيب هذه الفقرة مباشرةً لنتائج الاستعراض العالمي، وتردد دعوات المجتمع المدني </w:t>
      </w:r>
      <w:hyperlink r:id="rId15">
        <w:r>
          <w:rPr>
            <w:rFonts w:ascii="Simplified Arabic" w:hAnsi="Simplified Arabic" w:eastAsia="Simplified Arabic" w:cs="Simplified Arabic"/>
            <w:color w:val="1155CC"/>
            <w:sz w:val="24"/>
            <w:szCs w:val="24"/>
            <w:u w:val="single"/>
            <w:rtl w:val="true"/>
          </w:rPr>
          <w:t xml:space="preserve">والأدلة</w:t>
        </w:r>
      </w:hyperlink>
      <w:r>
        <w:rPr>
          <w:rFonts w:ascii="Simplified Arabic" w:hAnsi="Simplified Arabic" w:eastAsia="Simplified Arabic" w:cs="Simplified Arabic"/>
          <w:sz w:val="24"/>
          <w:szCs w:val="24"/>
          <w:rtl w:val="true"/>
        </w:rPr>
        <w:t xml:space="preserve"> </w:t>
      </w:r>
      <w:r>
        <w:rPr>
          <w:rFonts w:ascii="Simplified Arabic" w:hAnsi="Simplified Arabic" w:eastAsia="Simplified Arabic" w:cs="Simplified Arabic"/>
          <w:sz w:val="24"/>
          <w:szCs w:val="24"/>
          <w:rtl w:val="true"/>
        </w:rPr>
        <w:t xml:space="preserve">التي تشير إلى أن استراتيجيات التنوع البيولوجي والمناخ تفتقر إلى روابط ملموسة على المستويين الوطني ودون الوطني. [انظر أيضًا: الفقرة 12 من التوصيات في البند 9(ب) من جدول الأعمال، أدناه]. غير أن التحدي يكمن في تفعيل أجندة التعميم، وهو ما يجب أن ينعكس في الطلبات الموجهة إلى الأمين التنفيذي ومناقشات الميزانية. </w:t>
      </w:r>
    </w:p>
    <w:p w:rsidR="009C0A0D" w:rsidRDefault="00000000" w14:paraId="05A9079F"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B050"/>
          <w:sz w:val="24"/>
          <w:szCs w:val="24"/>
          <w:rtl w:val="true"/>
        </w:rPr>
        <w:t xml:space="preserve">الإبقاء على </w:t>
      </w:r>
      <w:r>
        <w:rPr>
          <w:rFonts w:ascii="Simplified Arabic" w:hAnsi="Simplified Arabic" w:eastAsia="Simplified Arabic" w:cs="Simplified Arabic"/>
          <w:color w:val="00B050"/>
          <w:sz w:val="24"/>
          <w:szCs w:val="24"/>
          <w:rtl w:val="true"/>
        </w:rPr>
        <w:t xml:space="preserve">[إزالة الأقواس من] النص الوارد في المقترحات التشغيلية 35 و37 التي تحث الأطراف على تعزيز مشاركة الجميع في التخطيط والتنفيذ</w:t>
      </w:r>
      <w:r>
        <w:rPr>
          <w:rFonts w:ascii="Simplified Arabic" w:hAnsi="Simplified Arabic" w:eastAsia="Simplified Arabic" w:cs="Simplified Arabic"/>
          <w:sz w:val="24"/>
          <w:szCs w:val="24"/>
          <w:rtl w:val="true"/>
        </w:rPr>
        <w:t xml:space="preserve">، والنص الذي يتناول على وجه التحديد تمكين المشاركة الكاملة والفعالة للشعوب الأصلية والمجتمعات المحلية والنساء والشباب.  </w:t>
      </w:r>
    </w:p>
    <w:p w:rsidR="009C0A0D" w:rsidRDefault="00000000" w14:paraId="40960BB8"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70C0"/>
          <w:sz w:val="24"/>
          <w:szCs w:val="24"/>
          <w:rtl w:val="true"/>
        </w:rPr>
        <w:t xml:space="preserve">إضافة </w:t>
      </w:r>
      <w:r>
        <w:rPr>
          <w:rFonts w:ascii="Simplified Arabic" w:hAnsi="Simplified Arabic" w:eastAsia="Simplified Arabic" w:cs="Simplified Arabic"/>
          <w:color w:val="0070C0"/>
          <w:sz w:val="24"/>
          <w:szCs w:val="24"/>
          <w:rtl w:val="true"/>
        </w:rPr>
        <w:t xml:space="preserve">ملاحظة عملية جديدة (بعد الملاحظة العملية 35)، أو تضمين إعلان القادة دعوة إلى زيادة الاستثمار في الأشخاص العاملين في الخطوط الأمامية للحفظ. </w:t>
      </w:r>
      <w:r>
        <w:rPr>
          <w:rFonts w:ascii="Simplified Arabic" w:hAnsi="Simplified Arabic" w:eastAsia="Simplified Arabic" w:cs="Simplified Arabic"/>
          <w:sz w:val="24"/>
          <w:szCs w:val="24"/>
          <w:rtl w:val="true"/>
        </w:rPr>
        <w:t xml:space="preserve">تُظهر </w:t>
      </w:r>
      <w:r>
        <w:rPr>
          <w:rFonts w:ascii="Simplified Arabic" w:hAnsi="Simplified Arabic" w:eastAsia="Simplified Arabic" w:cs="Simplified Arabic"/>
          <w:sz w:val="24"/>
          <w:szCs w:val="24"/>
          <w:rtl w:val="true"/>
        </w:rPr>
        <w:t xml:space="preserve">مبادرات مثل </w:t>
      </w:r>
      <w:hyperlink r:id="rId16">
        <w:r>
          <w:rPr>
            <w:rFonts w:ascii="Simplified Arabic" w:hAnsi="Simplified Arabic" w:eastAsia="Simplified Arabic" w:cs="Simplified Arabic"/>
            <w:color w:val="1155CC"/>
            <w:sz w:val="24"/>
            <w:szCs w:val="24"/>
            <w:u w:val="single"/>
            <w:rtl w:val="true"/>
          </w:rPr>
          <w:t xml:space="preserve">«حارسات المحيطات»</w:t>
        </w:r>
      </w:hyperlink>
      <w:r>
        <w:rPr>
          <w:rFonts w:ascii="Simplified Arabic" w:hAnsi="Simplified Arabic" w:eastAsia="Simplified Arabic" w:cs="Simplified Arabic"/>
          <w:sz w:val="24"/>
          <w:szCs w:val="24"/>
          <w:rtl w:val="true"/>
        </w:rPr>
        <w:t xml:space="preserve"> (</w:t>
      </w:r>
      <w:hyperlink r:id="rId16">
        <w:r>
          <w:rPr>
            <w:rFonts w:ascii="Simplified Arabic" w:hAnsi="Simplified Arabic" w:eastAsia="Simplified Arabic" w:cs="Simplified Arabic"/>
            <w:color w:val="1155CC"/>
            <w:sz w:val="24"/>
            <w:szCs w:val="24"/>
            <w:u w:val="single"/>
            <w:rtl w:val="true"/>
          </w:rPr>
          <w:t xml:space="preserve">Women Ocean Guardians)</w:t>
        </w:r>
      </w:hyperlink>
      <w:r>
        <w:rPr>
          <w:rFonts w:ascii="Simplified Arabic" w:hAnsi="Simplified Arabic" w:eastAsia="Simplified Arabic" w:cs="Simplified Arabic"/>
          <w:sz w:val="24"/>
          <w:szCs w:val="24"/>
          <w:rtl w:val="true"/>
        </w:rPr>
        <w:t xml:space="preserve"> كيف تُترجم الالتزامات الطوعية إلى تنفيذ مبادرة «إدارة المعرفة - الشراكة العالمية من أجل المحيطات» (KM-GBF) من خلال شراكة عالمية تركز على إدارة المحيطات المُحوِّلة من منظور النوع الاجتماعي وقيادة النساء في مجال الحفظ البحري. </w:t>
      </w:r>
      <w:r>
        <w:rPr>
          <w:rFonts w:ascii="Simplified Arabic" w:hAnsi="Simplified Arabic" w:eastAsia="Simplified Arabic" w:cs="Simplified Arabic"/>
          <w:sz w:val="24"/>
          <w:szCs w:val="24"/>
          <w:rtl w:val="true"/>
        </w:rPr>
        <w:t xml:space="preserve">ويُعد </w:t>
      </w:r>
      <w:r>
        <w:rPr>
          <w:rFonts w:ascii="Simplified Arabic" w:hAnsi="Simplified Arabic" w:eastAsia="Simplified Arabic" w:cs="Simplified Arabic"/>
          <w:sz w:val="24"/>
          <w:szCs w:val="24"/>
          <w:rtl w:val="true"/>
        </w:rPr>
        <w:t xml:space="preserve">حراس الغابات، </w:t>
      </w:r>
      <w:r>
        <w:rPr>
          <w:rFonts w:ascii="Simplified Arabic" w:hAnsi="Simplified Arabic" w:eastAsia="Simplified Arabic" w:cs="Simplified Arabic"/>
          <w:sz w:val="24"/>
          <w:szCs w:val="24"/>
          <w:rtl w:val="true"/>
        </w:rPr>
        <w:t xml:space="preserve">وحراس </w:t>
      </w:r>
      <w:r>
        <w:rPr>
          <w:rFonts w:ascii="Simplified Arabic" w:hAnsi="Simplified Arabic" w:eastAsia="Simplified Arabic" w:cs="Simplified Arabic"/>
          <w:sz w:val="24"/>
          <w:szCs w:val="24"/>
          <w:rtl w:val="true"/>
        </w:rPr>
        <w:t xml:space="preserve">البيئة، وصيادو الأسماك، وغيرهم ممن يعملون في الخطوط الأمامية للحفظ، لاعبين أساسيين في تنفيذ مبادرة KM-GBF، لكن هؤلاء الأشخاص وأنظمة إدارتهم لا تحتل مكانة بارزة في الدعوات الداعية إلى تعزيز التنفيذ في الفترة من 2026 إلى 2030. </w:t>
      </w:r>
    </w:p>
    <w:p w:rsidR="009C0A0D" w:rsidRDefault="00000000" w14:paraId="574C6B15" w14:textId="77777777">
      <w:pPr>
        <w:spacing w:line="240" w:lineRule="auto"/>
        <w:ind w:start="720"/>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sz w:val="24"/>
          <w:szCs w:val="24"/>
          <w:shd w:val="clear" w:color="auto" w:fill="C6C6C6"/>
          <w:rtl w:val="true"/>
        </w:rPr>
        <w:t xml:space="preserve"> </w:t>
      </w:r>
    </w:p>
    <w:p w:rsidR="009C0A0D" w:rsidRDefault="00000000" w14:paraId="29B4EB48" w14:textId="77777777">
      <w:pPr>
        <w:pStyle w:val="Heading1"/>
        <w:rPr>
          <w:shd w:val="clear" w:color="auto" w:fill="C6C6C6"/>
        </w:rPr>
      </w:pPr>
      <w:bookmarkStart w:name="_fi9rlyfsjwv0" w:colFirst="0" w:colLast="0" w:id="4"/>
      <w:bookmarkEnd w:id="4"/>
      <w:r>
        <w:rPr>
          <w:rtl w:val="true"/>
        </w:rPr>
        <w:lastRenderedPageBreak/>
      </w:r>
      <w:r>
        <w:rPr>
          <w:rtl w:val="true"/>
        </w:rPr>
        <w:t xml:space="preserve">البند 9(ب) من جدول الأعمال: «إطار الرصد الخاص بإطار كونمينغ-مونتريال العالمي للتنوع البيولوجي» </w:t>
      </w:r>
    </w:p>
    <w:p w:rsidR="009C0A0D" w:rsidRDefault="00000000" w14:paraId="1CB2FD27" w14:textId="77777777">
      <w:pPr>
        <w:shd w:val="clear" w:color="auto" w:fill="FFFFFF"/>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i/>
          <w:iCs/>
          <w:sz w:val="24"/>
          <w:szCs w:val="24"/>
          <w:rtl w:val="true"/>
        </w:rPr>
        <w:t xml:space="preserve">مشروع القرار الحالي: </w:t>
      </w:r>
      <w:hyperlink r:id="rId17">
        <w:r>
          <w:rPr>
            <w:rFonts w:ascii="Simplified Arabic" w:hAnsi="Simplified Arabic" w:eastAsia="Simplified Arabic" w:cs="Simplified Arabic"/>
            <w:i/>
            <w:iCs/>
            <w:color w:val="1155CC"/>
            <w:sz w:val="24"/>
            <w:szCs w:val="24"/>
            <w:u w:val="single"/>
            <w:rtl w:val="true"/>
          </w:rPr>
          <w:t xml:space="preserve">SBI/REC/7/1</w:t>
        </w:r>
      </w:hyperlink>
      <w:r>
        <w:rPr>
          <w:rFonts w:ascii="Simplified Arabic" w:hAnsi="Simplified Arabic" w:eastAsia="Simplified Arabic" w:cs="Simplified Arabic"/>
          <w:i/>
          <w:iCs/>
          <w:sz w:val="24"/>
          <w:szCs w:val="24"/>
          <w:rtl w:val="true"/>
        </w:rPr>
        <w:t xml:space="preserve"> [الجزء باء]</w:t>
      </w:r>
    </w:p>
    <w:p w:rsidR="009C0A0D" w:rsidRDefault="00000000" w14:paraId="19A68C66"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sz w:val="24"/>
          <w:szCs w:val="24"/>
          <w:shd w:val="clear" w:color="auto" w:fill="C6C6C6"/>
          <w:rtl w:val="true"/>
        </w:rPr>
        <w:t xml:space="preserve"> </w:t>
      </w:r>
    </w:p>
    <w:p w:rsidR="009C0A0D" w:rsidRDefault="00000000" w14:paraId="2564E69E" w14:textId="77777777">
      <w:pPr>
        <w:shd w:val="clear" w:color="auto" w:fill="FFFFFF"/>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sz w:val="24"/>
          <w:szCs w:val="24"/>
          <w:rtl w:val="true"/>
        </w:rPr>
        <w:t xml:space="preserve">فيما يتعلق بمسودة قرار مؤتمر الأطراف السابع عشر (CoP17)، نوصي الأطراف بما يلي: </w:t>
      </w:r>
    </w:p>
    <w:p w:rsidR="009C0A0D" w:rsidRDefault="009C0A0D" w14:paraId="2AF012C4"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70CBB19"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B050"/>
          <w:sz w:val="24"/>
          <w:szCs w:val="24"/>
          <w:rtl w:val="true"/>
        </w:rPr>
        <w:t xml:space="preserve">الإبقاء على </w:t>
      </w:r>
      <w:r>
        <w:rPr>
          <w:rFonts w:ascii="Simplified Arabic" w:hAnsi="Simplified Arabic" w:eastAsia="Simplified Arabic" w:cs="Simplified Arabic"/>
          <w:color w:val="00B050"/>
          <w:sz w:val="24"/>
          <w:szCs w:val="24"/>
          <w:rtl w:val="true"/>
        </w:rPr>
        <w:t xml:space="preserve">النص الوارد في الفقرة 7 من الجزء الافتتاحي الذي يدعو إلى إجراء الاستعراض العالمي الثاني لتعزيز تقييم النتائج </w:t>
      </w:r>
      <w:r>
        <w:rPr>
          <w:rFonts w:ascii="Simplified Arabic" w:hAnsi="Simplified Arabic" w:eastAsia="Simplified Arabic" w:cs="Simplified Arabic"/>
          <w:color w:val="00B050"/>
          <w:sz w:val="24"/>
          <w:szCs w:val="24"/>
          <w:rtl w:val="true"/>
        </w:rPr>
        <w:t xml:space="preserve">والفعالية، </w:t>
      </w:r>
      <w:r>
        <w:rPr>
          <w:rFonts w:ascii="Simplified Arabic" w:hAnsi="Simplified Arabic" w:eastAsia="Simplified Arabic" w:cs="Simplified Arabic"/>
          <w:color w:val="00B050"/>
          <w:sz w:val="24"/>
          <w:szCs w:val="24"/>
          <w:rtl w:val="true"/>
        </w:rPr>
        <w:t xml:space="preserve">والنظر في تعديل ولاية فريق الخبراء المعني بالصحة البيئية (ASHTAG) في هذا الصدد. </w:t>
      </w:r>
      <w:r>
        <w:rPr>
          <w:rFonts w:ascii="Simplified Arabic" w:hAnsi="Simplified Arabic" w:eastAsia="Simplified Arabic" w:cs="Simplified Arabic"/>
          <w:sz w:val="24"/>
          <w:szCs w:val="24"/>
          <w:rtl w:val="true"/>
        </w:rPr>
        <w:t xml:space="preserve">وقد أوضح الاستعراض العالمي وجود نقص في </w:t>
      </w:r>
      <w:r>
        <w:rPr>
          <w:rFonts w:ascii="Simplified Arabic" w:hAnsi="Simplified Arabic" w:eastAsia="Simplified Arabic" w:cs="Simplified Arabic"/>
          <w:i/>
          <w:iCs/>
          <w:sz w:val="24"/>
          <w:szCs w:val="24"/>
          <w:rtl w:val="true"/>
        </w:rPr>
        <w:t xml:space="preserve">«البنية التحتية التقنية وخطوط الأساس اللازمة لتقييم صحة النظم الإيكولوجية أو فعالية إدارتها. وتكون الثغرات حادة بشكل خاص في النظم الإيكولوجية البحرية ونظم المياه العميقة...» </w:t>
      </w:r>
      <w:r>
        <w:rPr>
          <w:rFonts w:ascii="Simplified Arabic" w:hAnsi="Simplified Arabic" w:eastAsia="Simplified Arabic" w:cs="Simplified Arabic"/>
          <w:sz w:val="24"/>
          <w:szCs w:val="24"/>
          <w:rtl w:val="true"/>
        </w:rPr>
        <w:t xml:space="preserve">أولاً، نقترح تعديل الصياغة الواردة في الفقرة 7 من الجزء الافتتاحي (OP7) لتتناول بشكل أكثر مباشرة أهداف عام 2050 لـ «إطار كونمينغ-مونتريال العالمي للتنوع البيولوجي» (مثل النتائج المتعلقة بتعزيز «سلامة النظم الإيكولوجية وترابطها ومرونتها»). ثانياً، تتمتع منظمة WCS بخبرة واسعة في استخدام الأدوات التكنولوجية لتبسيط جمع البيانات وإدارتها من أجل رصد التنوع البيولوجي وقياس النتائج، بما في ذلك في المجال البحري. وأخيراً، نلاحظ العمل الجاري الذي تقوم به اللجنة العالمية للمناطق المحمية التابعة للاتحاد الدولي لحفظ الطبيعة (IUCN) لاستكشاف هذه القضايا المتعلقة </w:t>
      </w:r>
      <w:hyperlink r:id="rId18">
        <w:r>
          <w:rPr>
            <w:rFonts w:ascii="Simplified Arabic" w:hAnsi="Simplified Arabic" w:eastAsia="Simplified Arabic" w:cs="Simplified Arabic"/>
            <w:color w:val="1155CC"/>
            <w:sz w:val="24"/>
            <w:szCs w:val="24"/>
            <w:u w:val="single"/>
            <w:rtl w:val="true"/>
          </w:rPr>
          <w:t xml:space="preserve">بالنتائج</w:t>
        </w:r>
      </w:hyperlink>
      <w:r>
        <w:rPr>
          <w:rFonts w:ascii="Simplified Arabic" w:hAnsi="Simplified Arabic" w:eastAsia="Simplified Arabic" w:cs="Simplified Arabic"/>
          <w:sz w:val="24"/>
          <w:szCs w:val="24"/>
          <w:rtl w:val="true"/>
        </w:rPr>
        <w:t xml:space="preserve">، وبالسلامة البيئية. </w:t>
      </w:r>
    </w:p>
    <w:p w:rsidR="009C0A0D" w:rsidRDefault="00000000" w14:paraId="1E729C61"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B050"/>
          <w:sz w:val="24"/>
          <w:szCs w:val="24"/>
          <w:rtl w:val="true"/>
        </w:rPr>
        <w:t xml:space="preserve">الإبقاء على </w:t>
      </w:r>
      <w:r>
        <w:rPr>
          <w:rFonts w:ascii="Simplified Arabic" w:hAnsi="Simplified Arabic" w:eastAsia="Simplified Arabic" w:cs="Simplified Arabic"/>
          <w:color w:val="00B050"/>
          <w:sz w:val="24"/>
          <w:szCs w:val="24"/>
          <w:rtl w:val="true"/>
        </w:rPr>
        <w:t xml:space="preserve">[إزالة الأقواس من] النص الوارد في الفقرة 11 من التوصية الافتتاحية (OP11) والفقرة 22(ي) (22(j))، مع التطلع إلى الاستعراض العالمي الثاني، وأهمية توجيه الاستثمارات نحو المجالات المطلوبة. </w:t>
      </w:r>
      <w:r>
        <w:rPr>
          <w:rFonts w:ascii="Simplified Arabic" w:hAnsi="Simplified Arabic" w:eastAsia="Simplified Arabic" w:cs="Simplified Arabic"/>
          <w:sz w:val="24"/>
          <w:szCs w:val="24"/>
          <w:rtl w:val="true"/>
        </w:rPr>
        <w:t xml:space="preserve">نقر بوجود عدم يقين بشأن ما قد يتبلور بين عامي 2030 و2050 كنسخة معدلة من إطار العمل العالمي للمناطق المحمية (KM-GBF). ومع ذلك، فإننا نؤيد بقوة الصياغة التي تستند مباشرة إلى نتائج المراجعات العالمية بدلاً من أن تُوضع في فراغ. وينبغي أن يأخذ تصميم المراجعة العالمية الثانية هذا الأمر في الاعتبار مع الاستمرار في التركيز على الجهود التاريخية لتنفيذ أهداف عام 2030 الحالية. </w:t>
      </w:r>
    </w:p>
    <w:p w:rsidR="009C0A0D" w:rsidRDefault="00000000" w14:paraId="2DE5F71A"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B050"/>
          <w:sz w:val="24"/>
          <w:szCs w:val="24"/>
          <w:rtl w:val="true"/>
        </w:rPr>
        <w:t xml:space="preserve">يجب </w:t>
      </w:r>
      <w:r>
        <w:rPr>
          <w:rFonts w:ascii="Simplified Arabic" w:hAnsi="Simplified Arabic" w:eastAsia="Simplified Arabic" w:cs="Simplified Arabic"/>
          <w:color w:val="00B050"/>
          <w:sz w:val="24"/>
          <w:szCs w:val="24"/>
          <w:rtl w:val="true"/>
        </w:rPr>
        <w:t xml:space="preserve">الإبقاء، ضمن </w:t>
      </w:r>
      <w:r>
        <w:rPr>
          <w:rFonts w:ascii="Simplified Arabic" w:hAnsi="Simplified Arabic" w:eastAsia="Simplified Arabic" w:cs="Simplified Arabic"/>
          <w:color w:val="00B050"/>
          <w:sz w:val="24"/>
          <w:szCs w:val="24"/>
          <w:rtl w:val="true"/>
        </w:rPr>
        <w:t xml:space="preserve">اختصاصات </w:t>
      </w:r>
      <w:r>
        <w:rPr>
          <w:rFonts w:ascii="Simplified Arabic" w:hAnsi="Simplified Arabic" w:eastAsia="Simplified Arabic" w:cs="Simplified Arabic"/>
          <w:color w:val="00B050"/>
          <w:sz w:val="24"/>
          <w:szCs w:val="24"/>
          <w:rtl w:val="true"/>
        </w:rPr>
        <w:t xml:space="preserve">فريق ASHTAG [الملحق الثاني، الفقرة 1(ب)]، على الصياغة المتعلقة بتطوير المنهجيات، ولا سيما استخدام </w:t>
      </w:r>
      <w:r>
        <w:rPr>
          <w:rFonts w:ascii="Simplified Arabic" w:hAnsi="Simplified Arabic" w:eastAsia="Simplified Arabic" w:cs="Simplified Arabic"/>
          <w:color w:val="00B050"/>
          <w:sz w:val="24"/>
          <w:szCs w:val="24"/>
          <w:rtl w:val="true"/>
        </w:rPr>
        <w:t xml:space="preserve">التصنيفات </w:t>
      </w:r>
      <w:r>
        <w:rPr>
          <w:rFonts w:ascii="Simplified Arabic" w:hAnsi="Simplified Arabic" w:eastAsia="Simplified Arabic" w:cs="Simplified Arabic"/>
          <w:color w:val="00B050"/>
          <w:sz w:val="24"/>
          <w:szCs w:val="24"/>
          <w:rtl w:val="true"/>
        </w:rPr>
        <w:t xml:space="preserve">التفصيلية، لتقييم ما إذا كانت الثغرات في الرصد تتعلق بتوافر البيانات، أو بالقدرات التقنية، أو بعوائق أخرى تحول دون الإبلاغ. </w:t>
      </w:r>
      <w:r>
        <w:rPr>
          <w:rFonts w:ascii="Simplified Arabic" w:hAnsi="Simplified Arabic" w:eastAsia="Simplified Arabic" w:cs="Simplified Arabic"/>
          <w:sz w:val="24"/>
          <w:szCs w:val="24"/>
          <w:rtl w:val="true"/>
        </w:rPr>
        <w:t xml:space="preserve">ويشير التقرير العالمي إلى عدم اكتمال المعلومات بشأن الاتجاهات الخاصة بالمناطق الحيوية أو النظم الإيكولوجية، وهو ما يمثل وسيلة رئيسية لتوجيه الاستثمارات في بناء القدرات، وتحسين المنهجيات، وغير ذلك. ومع ذلك، هناك أيضًا نص بشأن تقديم مؤشرات وطنية أو مستقلة من شأنها أن تشكل </w:t>
      </w:r>
      <w:r>
        <w:rPr>
          <w:rFonts w:ascii="Simplified Arabic" w:hAnsi="Simplified Arabic" w:eastAsia="Simplified Arabic" w:cs="Simplified Arabic"/>
          <w:sz w:val="24"/>
          <w:szCs w:val="24"/>
          <w:rtl w:val="true"/>
        </w:rPr>
        <w:t xml:space="preserve">تصنيفات </w:t>
      </w:r>
      <w:r>
        <w:rPr>
          <w:rFonts w:ascii="Simplified Arabic" w:hAnsi="Simplified Arabic" w:eastAsia="Simplified Arabic" w:cs="Simplified Arabic"/>
          <w:sz w:val="24"/>
          <w:szCs w:val="24"/>
          <w:rtl w:val="true"/>
        </w:rPr>
        <w:t xml:space="preserve">للمؤشرات الرئيسية. ويستحق هذا الأمر مزيدًا من التحليل وتوصيات واضحة، وقد يكون جديرًا بالنظر من قبل أي فريق خبراء بعد مؤتمر الأطراف السابع عشر (CoP17). وحيثما تعوق القيود المنهجية والبيانات الإبلاغ عن التهديدات الرئيسية للتنوع البيولوجي (مثل تلوث المياه والمؤشر 7.1)، قد نحتاج إلى مزيد من التوجيه الفني حول كيفية معالجة هذه التحديات. </w:t>
      </w:r>
    </w:p>
    <w:p w:rsidR="009C0A0D" w:rsidRDefault="00000000" w14:paraId="6A456D52"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sz w:val="24"/>
          <w:szCs w:val="24"/>
          <w:shd w:val="clear" w:color="auto" w:fill="C6C6C6"/>
          <w:rtl w:val="true"/>
        </w:rPr>
        <w:t xml:space="preserve"> </w:t>
      </w:r>
    </w:p>
    <w:p w:rsidR="009C0A0D" w:rsidRDefault="00000000" w14:paraId="047FCA92" w14:textId="77777777">
      <w:pPr>
        <w:pStyle w:val="Heading1"/>
        <w:rPr>
          <w:shd w:val="clear" w:color="auto" w:fill="C6C6C6"/>
        </w:rPr>
      </w:pPr>
      <w:bookmarkStart w:name="_8e8bffr3p28l" w:colFirst="0" w:colLast="0" w:id="5"/>
      <w:bookmarkEnd w:id="5"/>
      <w:r>
        <w:rPr>
          <w:rtl w:val="true"/>
        </w:rPr>
        <w:t xml:space="preserve">البند 13 من جدول الأعمال: «التعاون مع الاتفاقيات والمنظمات الدولية الأخرى» </w:t>
      </w:r>
    </w:p>
    <w:p w:rsidR="009C0A0D" w:rsidRDefault="00000000" w14:paraId="358AE61B"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i/>
          <w:iCs/>
          <w:sz w:val="24"/>
          <w:szCs w:val="24"/>
          <w:rtl w:val="true"/>
        </w:rPr>
        <w:t xml:space="preserve">مشروع القرار الحالي: </w:t>
      </w:r>
      <w:hyperlink r:id="rId19">
        <w:r>
          <w:rPr>
            <w:rFonts w:ascii="Simplified Arabic" w:hAnsi="Simplified Arabic" w:eastAsia="Simplified Arabic" w:cs="Simplified Arabic"/>
            <w:i/>
            <w:iCs/>
            <w:color w:val="0563C1"/>
            <w:sz w:val="24"/>
            <w:szCs w:val="24"/>
            <w:u w:val="single"/>
            <w:rtl w:val="true"/>
          </w:rPr>
          <w:t xml:space="preserve">SBI/REC/6/6</w:t>
        </w:r>
      </w:hyperlink>
      <w:r>
        <w:rPr>
          <w:rFonts w:ascii="Simplified Arabic" w:hAnsi="Simplified Arabic" w:eastAsia="Simplified Arabic" w:cs="Simplified Arabic"/>
          <w:sz w:val="24"/>
          <w:szCs w:val="24"/>
          <w:shd w:val="clear" w:color="auto" w:fill="C6C6C6"/>
          <w:rtl w:val="true"/>
        </w:rPr>
        <w:t xml:space="preserve"> </w:t>
      </w:r>
    </w:p>
    <w:p w:rsidR="009C0A0D" w:rsidRDefault="00000000" w14:paraId="2CAA73F3" w14:textId="77777777">
      <w:pPr>
        <w:shd w:val="clear" w:color="auto" w:fill="FFFFFF"/>
        <w:spacing w:line="240" w:lineRule="auto"/>
        <w:rPr>
          <w:rFonts w:ascii="Twentieth Century" w:hAnsi="Twentieth Century" w:eastAsia="Twentieth Century" w:cs="Twentieth Century"/>
          <w:i/>
          <w:iCs/>
          <w:sz w:val="24"/>
          <w:szCs w:val="24"/>
        </w:rPr>
      </w:pPr>
      <w:r>
        <w:rPr>
          <w:rFonts w:ascii="Simplified Arabic" w:hAnsi="Simplified Arabic" w:eastAsia="Simplified Arabic" w:cs="Simplified Arabic"/>
          <w:i/>
          <w:iCs/>
          <w:sz w:val="24"/>
          <w:szCs w:val="24"/>
          <w:rtl w:val="true"/>
        </w:rPr>
        <w:t xml:space="preserve">التقرير المرحلي بشأن التنوع البيولوجي وتغير المناخ: </w:t>
      </w:r>
      <w:hyperlink r:id="rId20">
        <w:r>
          <w:rPr>
            <w:rFonts w:ascii="Simplified Arabic" w:hAnsi="Simplified Arabic" w:eastAsia="Simplified Arabic" w:cs="Simplified Arabic"/>
            <w:i/>
            <w:iCs/>
            <w:color w:val="1155CC"/>
            <w:sz w:val="24"/>
            <w:szCs w:val="24"/>
            <w:u w:val="single"/>
            <w:rtl w:val="true"/>
          </w:rPr>
          <w:t xml:space="preserve">COP/17/11</w:t>
        </w:r>
      </w:hyperlink>
    </w:p>
    <w:p w:rsidR="009C0A0D" w:rsidRDefault="009C0A0D" w14:paraId="222EF876"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000000" w14:paraId="7EFE8FC5" w14:textId="77777777">
      <w:pPr>
        <w:shd w:val="clear" w:color="auto" w:fill="FFFFFF"/>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sz w:val="24"/>
          <w:szCs w:val="24"/>
          <w:rtl w:val="true"/>
        </w:rPr>
        <w:t xml:space="preserve">فيما يتعلق بمشروع قرار مؤتمر الأطراف السابع عشر، نوصي الأطراف بما يلي: </w:t>
      </w:r>
    </w:p>
    <w:p w:rsidR="009C0A0D" w:rsidRDefault="009C0A0D" w14:paraId="06DE6EA8"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1E47E0B3"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70C0"/>
          <w:sz w:val="24"/>
          <w:szCs w:val="24"/>
          <w:highlight w:val="white"/>
          <w:rtl w:val="true"/>
        </w:rPr>
        <w:lastRenderedPageBreak/>
      </w:r>
      <w:r>
        <w:rPr>
          <w:rFonts w:ascii="Simplified Arabic" w:hAnsi="Simplified Arabic" w:eastAsia="Simplified Arabic" w:cs="Simplified Arabic"/>
          <w:b/>
          <w:bCs/>
          <w:color w:val="0070C0"/>
          <w:sz w:val="24"/>
          <w:szCs w:val="24"/>
          <w:highlight w:val="white"/>
          <w:rtl w:val="true"/>
        </w:rPr>
        <w:t xml:space="preserve">تعديل </w:t>
      </w:r>
      <w:r>
        <w:rPr>
          <w:rFonts w:ascii="Simplified Arabic" w:hAnsi="Simplified Arabic" w:eastAsia="Simplified Arabic" w:cs="Simplified Arabic"/>
          <w:color w:val="0070C0"/>
          <w:sz w:val="24"/>
          <w:szCs w:val="24"/>
          <w:highlight w:val="white"/>
          <w:rtl w:val="true"/>
        </w:rPr>
        <w:t xml:space="preserve">العبارة المؤقتة الواردة في OP11 للترحيب بخريطة </w:t>
      </w:r>
      <w:r>
        <w:rPr>
          <w:rFonts w:ascii="Simplified Arabic" w:hAnsi="Simplified Arabic" w:eastAsia="Simplified Arabic" w:cs="Simplified Arabic"/>
          <w:sz w:val="24"/>
          <w:szCs w:val="24"/>
          <w:highlight w:val="white"/>
          <w:rtl w:val="true"/>
        </w:rPr>
        <w:t xml:space="preserve">الطريق</w:t>
      </w:r>
      <w:r>
        <w:rPr>
          <w:rFonts w:ascii="Simplified Arabic" w:hAnsi="Simplified Arabic" w:eastAsia="Simplified Arabic" w:cs="Simplified Arabic"/>
          <w:color w:val="0070C0"/>
          <w:sz w:val="24"/>
          <w:szCs w:val="24"/>
          <w:highlight w:val="white"/>
          <w:rtl w:val="true"/>
        </w:rPr>
        <w:t xml:space="preserve"> متعددة المستويات. </w:t>
      </w:r>
      <w:r>
        <w:rPr>
          <w:rFonts w:ascii="Simplified Arabic" w:hAnsi="Simplified Arabic" w:eastAsia="Simplified Arabic" w:cs="Simplified Arabic"/>
          <w:sz w:val="24"/>
          <w:szCs w:val="24"/>
          <w:highlight w:val="white"/>
          <w:rtl w:val="true"/>
        </w:rPr>
        <w:t xml:space="preserve">إن خريطة الطريق متعددة المستويات التي تتضمن خيارات لتعزيز اتساق السياسات هي وثيقة ملموسة وقابلة للتنفيذ يمكن للأطراف النظر فيها بشكل أعمق. </w:t>
      </w:r>
      <w:r>
        <w:rPr>
          <w:rFonts w:ascii="Simplified Arabic" w:hAnsi="Simplified Arabic" w:eastAsia="Simplified Arabic" w:cs="Simplified Arabic"/>
          <w:sz w:val="24"/>
          <w:szCs w:val="24"/>
          <w:highlight w:val="white"/>
          <w:rtl w:val="true"/>
        </w:rPr>
        <w:t xml:space="preserve">وكان  </w:t>
      </w:r>
      <w:r>
        <w:rPr>
          <w:rFonts w:ascii="Simplified Arabic" w:hAnsi="Simplified Arabic" w:eastAsia="Simplified Arabic" w:cs="Simplified Arabic"/>
          <w:sz w:val="24"/>
          <w:szCs w:val="24"/>
          <w:highlight w:val="white"/>
          <w:rtl w:val="true"/>
        </w:rPr>
        <w:t xml:space="preserve">العمل الذي بُذل في إعداد الوثيقة المنشورة في </w:t>
      </w:r>
      <w:hyperlink r:id="rId21">
        <w:r>
          <w:rPr>
            <w:rFonts w:ascii="Simplified Arabic" w:hAnsi="Simplified Arabic" w:eastAsia="Simplified Arabic" w:cs="Simplified Arabic"/>
            <w:color w:val="1155CC"/>
            <w:sz w:val="24"/>
            <w:szCs w:val="24"/>
            <w:highlight w:val="white"/>
            <w:u w:val="single"/>
            <w:rtl w:val="true"/>
          </w:rPr>
          <w:t xml:space="preserve">COP/17/11</w:t>
        </w:r>
      </w:hyperlink>
      <w:r>
        <w:rPr>
          <w:rFonts w:ascii="Simplified Arabic" w:hAnsi="Simplified Arabic" w:eastAsia="Simplified Arabic" w:cs="Simplified Arabic"/>
          <w:sz w:val="24"/>
          <w:szCs w:val="24"/>
          <w:highlight w:val="white"/>
          <w:rtl w:val="true"/>
        </w:rPr>
        <w:t xml:space="preserve"> قيّمًا ويعكس مساهمات الخبراء. وينبغي أن تشكل هذه الوثيقة أساسًا لمزيد من التعاون.  </w:t>
      </w:r>
    </w:p>
    <w:p w:rsidR="009C0A0D" w:rsidRDefault="00000000" w14:paraId="4683F94F"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70C0"/>
          <w:sz w:val="24"/>
          <w:szCs w:val="24"/>
          <w:highlight w:val="white"/>
          <w:rtl w:val="true"/>
        </w:rPr>
        <w:t xml:space="preserve">تعديل </w:t>
      </w:r>
      <w:r>
        <w:rPr>
          <w:rFonts w:ascii="Simplified Arabic" w:hAnsi="Simplified Arabic" w:eastAsia="Simplified Arabic" w:cs="Simplified Arabic"/>
          <w:color w:val="0070C0"/>
          <w:sz w:val="24"/>
          <w:szCs w:val="24"/>
          <w:highlight w:val="white"/>
          <w:rtl w:val="true"/>
        </w:rPr>
        <w:t xml:space="preserve">نص الطلبات الموجهة إلى الأمين التنفيذي في البند OP16(ج) لتضمين خارطة الطريق متعددة المستويات في جهود التواصل مع أمانات اتفاقيات ريو. </w:t>
      </w:r>
      <w:r>
        <w:rPr>
          <w:rFonts w:ascii="Simplified Arabic" w:hAnsi="Simplified Arabic" w:eastAsia="Simplified Arabic" w:cs="Simplified Arabic"/>
          <w:sz w:val="24"/>
          <w:szCs w:val="24"/>
          <w:highlight w:val="white"/>
          <w:rtl w:val="true"/>
        </w:rPr>
        <w:t xml:space="preserve">ورغم أن الأطراف في اتفاقية التنوع البيولوجي لا يمكنها اتخاذ قرار نيابة عن الأطراف في اتفاقيات «ريو» الأخرى في يريفان، فإنها تستطيع ضمان بذل هذه الاتفاقية كل جهد ممكن للسعي إلى مزيد من التعاون والكفاءة والعمل التقني المتعاضد. ويُعدّ تبادل خارطة الطريق متعددة المستويات إحدى السبل للمضي قدماً في الحوارات استناداً إلى اقتراح ملموس. ويمكن أيضاً استخلاص عناصر منها أو مناقشتها بشكل مجرد. </w:t>
      </w:r>
    </w:p>
    <w:p w:rsidR="009C0A0D" w:rsidRDefault="009C0A0D" w14:paraId="50003413"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2DA97B7" w14:textId="77777777">
      <w:pPr>
        <w:pStyle w:val="Heading1"/>
        <w:rPr>
          <w:shd w:val="clear" w:color="auto" w:fill="C6C6C6"/>
        </w:rPr>
      </w:pPr>
      <w:bookmarkStart w:name="_55d2dkya2trc" w:colFirst="0" w:colLast="0" w:id="6"/>
      <w:bookmarkEnd w:id="6"/>
      <w:r>
        <w:rPr>
          <w:rtl w:val="true"/>
        </w:rPr>
        <w:t xml:space="preserve">البند 17(ج) من جدول الأعمال: «المراجعة الاستراتيجية </w:t>
      </w:r>
      <w:r>
        <w:rPr>
          <w:rtl w:val="true"/>
        </w:rPr>
        <w:t xml:space="preserve">لبرنامج </w:t>
      </w:r>
      <w:r>
        <w:rPr>
          <w:rtl w:val="true"/>
        </w:rPr>
        <w:t xml:space="preserve">العمل المتعلق بالمناطق المحمية وتحديثاته» </w:t>
      </w:r>
    </w:p>
    <w:p w:rsidR="009C0A0D" w:rsidRDefault="00000000" w14:paraId="06FB2705"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Simplified Arabic" w:hAnsi="Simplified Arabic" w:eastAsia="Simplified Arabic" w:cs="Simplified Arabic"/>
          <w:i/>
          <w:iCs/>
          <w:sz w:val="24"/>
          <w:szCs w:val="24"/>
          <w:rtl w:val="true"/>
        </w:rPr>
        <w:t xml:space="preserve">مشروع القرار الحالي: </w:t>
      </w:r>
      <w:hyperlink r:id="rId22">
        <w:r>
          <w:rPr>
            <w:rFonts w:ascii="Simplified Arabic" w:hAnsi="Simplified Arabic" w:eastAsia="Simplified Arabic" w:cs="Simplified Arabic"/>
            <w:i/>
            <w:iCs/>
            <w:color w:val="0070C0"/>
            <w:sz w:val="24"/>
            <w:szCs w:val="24"/>
            <w:u w:val="single"/>
            <w:rtl w:val="true"/>
          </w:rPr>
          <w:t xml:space="preserve">SBSTTA/REC/28/5</w:t>
        </w:r>
      </w:hyperlink>
    </w:p>
    <w:p w:rsidR="009C0A0D" w:rsidRDefault="009C0A0D" w14:paraId="6C148EA1" w14:textId="77777777">
      <w:pPr>
        <w:spacing w:line="240" w:lineRule="auto"/>
        <w:rPr>
          <w:rFonts w:ascii="Twentieth Century" w:hAnsi="Twentieth Century" w:eastAsia="Twentieth Century" w:cs="Twentieth Century"/>
          <w:sz w:val="24"/>
          <w:szCs w:val="24"/>
          <w:shd w:val="clear" w:color="auto" w:fill="C6C6C6"/>
        </w:rPr>
      </w:pPr>
    </w:p>
    <w:p w:rsidR="009C0A0D" w:rsidRDefault="00000000" w14:paraId="6BB0AFF2" w14:textId="77777777">
      <w:pPr>
        <w:shd w:val="clear" w:color="auto" w:fill="FFFFFF"/>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sz w:val="24"/>
          <w:szCs w:val="24"/>
          <w:rtl w:val="true"/>
        </w:rPr>
        <w:t xml:space="preserve">فيما يتعلق بمشروع قرار مؤتمر الأطراف السابع عشر، نوصي الأطراف بما يلي: </w:t>
      </w:r>
    </w:p>
    <w:p w:rsidR="009C0A0D" w:rsidRDefault="009C0A0D" w14:paraId="745AC1AF"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8C550A2"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B050"/>
          <w:sz w:val="24"/>
          <w:szCs w:val="24"/>
          <w:rtl w:val="true"/>
        </w:rPr>
        <w:t xml:space="preserve">الإبقاء على </w:t>
      </w:r>
      <w:r>
        <w:rPr>
          <w:rFonts w:ascii="Simplified Arabic" w:hAnsi="Simplified Arabic" w:eastAsia="Simplified Arabic" w:cs="Simplified Arabic"/>
          <w:color w:val="00B050"/>
          <w:sz w:val="24"/>
          <w:szCs w:val="24"/>
          <w:rtl w:val="true"/>
        </w:rPr>
        <w:t xml:space="preserve">النص الوارد في الفقرة 14(ج)(2) من الأهداف التي تدعو الأمانة إلى تجميع وجهات النظر بشأن الدروس المستفادة فيما يتعلق بالهدف 3 </w:t>
      </w:r>
      <w:r>
        <w:rPr>
          <w:rFonts w:ascii="Simplified Arabic" w:hAnsi="Simplified Arabic" w:eastAsia="Simplified Arabic" w:cs="Simplified Arabic"/>
          <w:i/>
          <w:iCs/>
          <w:color w:val="00B050"/>
          <w:sz w:val="24"/>
          <w:szCs w:val="24"/>
          <w:rtl w:val="true"/>
        </w:rPr>
        <w:t xml:space="preserve">و«السلامة</w:t>
      </w:r>
      <w:r>
        <w:rPr>
          <w:rFonts w:ascii="Simplified Arabic" w:hAnsi="Simplified Arabic" w:eastAsia="Simplified Arabic" w:cs="Simplified Arabic"/>
          <w:i/>
          <w:iCs/>
          <w:color w:val="00B050"/>
          <w:sz w:val="24"/>
          <w:szCs w:val="24"/>
          <w:rtl w:val="true"/>
        </w:rPr>
        <w:t xml:space="preserve"> البيئية</w:t>
      </w:r>
      <w:r>
        <w:rPr>
          <w:rFonts w:ascii="Simplified Arabic" w:hAnsi="Simplified Arabic" w:eastAsia="Simplified Arabic" w:cs="Simplified Arabic"/>
          <w:i/>
          <w:iCs/>
          <w:color w:val="00B050"/>
          <w:sz w:val="24"/>
          <w:szCs w:val="24"/>
          <w:rtl w:val="true"/>
        </w:rPr>
        <w:t xml:space="preserve">... والقدرة على </w:t>
      </w:r>
      <w:r>
        <w:rPr>
          <w:rFonts w:ascii="Simplified Arabic" w:hAnsi="Simplified Arabic" w:eastAsia="Simplified Arabic" w:cs="Simplified Arabic"/>
          <w:i/>
          <w:iCs/>
          <w:color w:val="00B050"/>
          <w:sz w:val="24"/>
          <w:szCs w:val="24"/>
          <w:rtl w:val="true"/>
        </w:rPr>
        <w:t xml:space="preserve">الصمود... بما في ذلك في سياق تغير المناخ». </w:t>
      </w:r>
      <w:r>
        <w:rPr>
          <w:rFonts w:ascii="Simplified Arabic" w:hAnsi="Simplified Arabic" w:eastAsia="Simplified Arabic" w:cs="Simplified Arabic"/>
          <w:sz w:val="24"/>
          <w:szCs w:val="24"/>
          <w:rtl w:val="true"/>
        </w:rPr>
        <w:t xml:space="preserve">ومن الأهمية بمكان أن تظل جهودنا الرامية إلى إنشاء تدابير الحفظ القائمة على المناطق وإدارتها ورصدها والإبلاغ عنها مركزة على الأهداف طويلة الأجل لـ«إطار العمل العالمي للحفظ القائم على المناطق» (KM-GBF). وبدون دمج التدابير القائمة على المناطق في استراتيجيات أوسع نطاقاً لحفظ النظم الإيكولوجية، ودون مراعاة آثار تغير المناخ على تلك الاستراتيجيات الأوسع نطاقاً، فإن التدابير الفردية قصيرة الأجل ستكون محكومة بالفشل. وهذه عملية أساسية لجمع آراء الأطراف، والتي يمكن أن تسهم أيضاً في إثراء أعمال المؤتمر العالمي للمناطق المحمية والمحفوظة الذي ستعقده حكومة بنما والاتحاد الدولي لحفظ الطبيعة (IUCN) في عام 2027. </w:t>
      </w:r>
    </w:p>
    <w:p w:rsidR="009C0A0D" w:rsidRDefault="00000000" w14:paraId="24B32CA5" w14:textId="77777777">
      <w:pPr>
        <w:numPr>
          <w:ilvl w:val="0"/>
          <w:numId w:val="2"/>
        </w:numPr>
        <w:spacing w:line="240" w:lineRule="auto"/>
        <w:rPr>
          <w:rFonts w:ascii="Twentieth Century" w:hAnsi="Twentieth Century" w:eastAsia="Twentieth Century" w:cs="Twentieth Century"/>
          <w:i/>
          <w:iCs/>
        </w:rPr>
      </w:pPr>
      <w:r>
        <w:rPr>
          <w:rFonts w:ascii="Simplified Arabic" w:hAnsi="Simplified Arabic" w:eastAsia="Simplified Arabic" w:cs="Simplified Arabic"/>
          <w:b/>
          <w:bCs/>
          <w:color w:val="0070C0"/>
          <w:sz w:val="24"/>
          <w:szCs w:val="24"/>
          <w:rtl w:val="true"/>
        </w:rPr>
        <w:t xml:space="preserve">تعديل </w:t>
      </w:r>
      <w:r>
        <w:rPr>
          <w:rFonts w:ascii="Simplified Arabic" w:hAnsi="Simplified Arabic" w:eastAsia="Simplified Arabic" w:cs="Simplified Arabic"/>
          <w:color w:val="0070C0"/>
          <w:sz w:val="24"/>
          <w:szCs w:val="24"/>
          <w:rtl w:val="true"/>
        </w:rPr>
        <w:t xml:space="preserve">النص الوارد في الفقرة الفرعية (ج)(5) من البند 6 من جدول الأعمال (OP6) للدعوة إلى مزيد من الدراسة للروابط بين الطبيعة والثقافة. </w:t>
      </w:r>
      <w:r>
        <w:rPr>
          <w:rFonts w:ascii="Simplified Arabic" w:hAnsi="Simplified Arabic" w:eastAsia="Simplified Arabic" w:cs="Simplified Arabic"/>
          <w:sz w:val="24"/>
          <w:szCs w:val="24"/>
          <w:rtl w:val="true"/>
        </w:rPr>
        <w:t xml:space="preserve">هناك جانب رئيسي مفقود في </w:t>
      </w:r>
      <w:r>
        <w:rPr>
          <w:rFonts w:ascii="Simplified Arabic" w:hAnsi="Simplified Arabic" w:eastAsia="Simplified Arabic" w:cs="Simplified Arabic"/>
          <w:sz w:val="24"/>
          <w:szCs w:val="24"/>
          <w:rtl w:val="true"/>
        </w:rPr>
        <w:t xml:space="preserve">برنامج </w:t>
      </w:r>
      <w:r>
        <w:rPr>
          <w:rFonts w:ascii="Simplified Arabic" w:hAnsi="Simplified Arabic" w:eastAsia="Simplified Arabic" w:cs="Simplified Arabic"/>
          <w:sz w:val="24"/>
          <w:szCs w:val="24"/>
          <w:rtl w:val="true"/>
        </w:rPr>
        <w:t xml:space="preserve">العمل </w:t>
      </w:r>
      <w:r>
        <w:rPr>
          <w:rFonts w:ascii="Simplified Arabic" w:hAnsi="Simplified Arabic" w:eastAsia="Simplified Arabic" w:cs="Simplified Arabic"/>
          <w:sz w:val="24"/>
          <w:szCs w:val="24"/>
          <w:rtl w:val="true"/>
        </w:rPr>
        <w:t xml:space="preserve">هذا</w:t>
      </w:r>
      <w:r>
        <w:rPr>
          <w:rFonts w:ascii="Simplified Arabic" w:hAnsi="Simplified Arabic" w:eastAsia="Simplified Arabic" w:cs="Simplified Arabic"/>
          <w:sz w:val="24"/>
          <w:szCs w:val="24"/>
          <w:rtl w:val="true"/>
        </w:rPr>
        <w:t xml:space="preserve">: وهو الصلة بين مبادرة KM-GBF وإدارة الروابط البيولوجية-الثقافية وسلامتها، والتي غالبًا ما تُدار بالشراكة مع وزارات الثقافة والوزارات الأخرى. في عصر يتسم بتناقص الموارد، يمكن بل وينبغي تعزيز قوة الروابط بين الطبيعة والثقافة، بالاستفادة من العمل والخبرة المتوفرة في إطار أدوات مثل اتفاقية التراث العالمي. </w:t>
      </w:r>
    </w:p>
    <w:p w:rsidR="009C0A0D" w:rsidRDefault="00000000" w14:paraId="08C48EF6"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B050"/>
          <w:sz w:val="24"/>
          <w:szCs w:val="24"/>
          <w:rtl w:val="true"/>
        </w:rPr>
        <w:t xml:space="preserve">الإبقاء على </w:t>
      </w:r>
      <w:r>
        <w:rPr>
          <w:rFonts w:ascii="Simplified Arabic" w:hAnsi="Simplified Arabic" w:eastAsia="Simplified Arabic" w:cs="Simplified Arabic"/>
          <w:color w:val="00B050"/>
          <w:sz w:val="24"/>
          <w:szCs w:val="24"/>
          <w:rtl w:val="true"/>
        </w:rPr>
        <w:t xml:space="preserve">[إزالة الأقواس من] النص الوارد في الفقرة الفرعية (ج)(3) من البند 14 من برنامج العمل، بما يتماشى مع مبادئ عدم الاتصال، وعدم الملموسية، والحيطة. </w:t>
      </w:r>
      <w:r>
        <w:rPr>
          <w:rFonts w:ascii="Simplified Arabic" w:hAnsi="Simplified Arabic" w:eastAsia="Simplified Arabic" w:cs="Simplified Arabic"/>
          <w:color w:val="242424"/>
          <w:sz w:val="24"/>
          <w:szCs w:val="24"/>
          <w:rtl w:val="true"/>
        </w:rPr>
        <w:t xml:space="preserve">وتحتاج الشعوب الأصلية التي تعيش في عزلة طوعية إلى معيار عدم الاتصال كوسيلة لاحترام حقوقها في تقرير المصير. </w:t>
      </w:r>
    </w:p>
    <w:p w:rsidR="009C0A0D" w:rsidRDefault="00000000" w14:paraId="77AD1EBF"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sz w:val="24"/>
          <w:szCs w:val="24"/>
          <w:shd w:val="clear" w:color="auto" w:fill="C6C6C6"/>
          <w:rtl w:val="true"/>
        </w:rPr>
        <w:t xml:space="preserve"> </w:t>
      </w:r>
    </w:p>
    <w:p w:rsidR="009C0A0D" w:rsidRDefault="00000000" w14:paraId="47818C1C" w14:textId="77777777">
      <w:pPr>
        <w:pStyle w:val="Heading1"/>
        <w:rPr>
          <w:shd w:val="clear" w:color="auto" w:fill="C6C6C6"/>
        </w:rPr>
      </w:pPr>
      <w:bookmarkStart w:name="_fqnycii1cmkc" w:colFirst="0" w:colLast="0" w:id="7"/>
      <w:bookmarkEnd w:id="7"/>
      <w:r>
        <w:rPr>
          <w:rtl w:val="true"/>
        </w:rPr>
        <w:t xml:space="preserve">البند 17(د) من جدول الأعمال: «مجالات العمل الإضافي المحتملة في سياق الإطار» </w:t>
      </w:r>
    </w:p>
    <w:p w:rsidR="009C0A0D" w:rsidRDefault="00000000" w14:paraId="4FE8D846"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i/>
          <w:iCs/>
          <w:sz w:val="24"/>
          <w:szCs w:val="24"/>
          <w:rtl w:val="true"/>
        </w:rPr>
        <w:t xml:space="preserve">مشروع القرار الحالي: </w:t>
      </w:r>
      <w:hyperlink r:id="rId23">
        <w:r>
          <w:rPr>
            <w:rFonts w:ascii="Simplified Arabic" w:hAnsi="Simplified Arabic" w:eastAsia="Simplified Arabic" w:cs="Simplified Arabic"/>
            <w:i/>
            <w:iCs/>
            <w:color w:val="0563C1"/>
            <w:sz w:val="24"/>
            <w:szCs w:val="24"/>
            <w:u w:val="single"/>
            <w:rtl w:val="true"/>
          </w:rPr>
          <w:t xml:space="preserve">SBSTTA/REC/27/6</w:t>
        </w:r>
      </w:hyperlink>
      <w:r>
        <w:rPr>
          <w:rFonts w:ascii="Simplified Arabic" w:hAnsi="Simplified Arabic" w:eastAsia="Simplified Arabic" w:cs="Simplified Arabic"/>
          <w:sz w:val="24"/>
          <w:szCs w:val="24"/>
          <w:shd w:val="clear" w:color="auto" w:fill="C6C6C6"/>
          <w:rtl w:val="true"/>
        </w:rPr>
        <w:t xml:space="preserve"> </w:t>
      </w:r>
    </w:p>
    <w:p w:rsidR="009C0A0D" w:rsidRDefault="00000000" w14:paraId="32BDE7EC"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sz w:val="24"/>
          <w:szCs w:val="24"/>
          <w:shd w:val="clear" w:color="auto" w:fill="C6C6C6"/>
          <w:rtl w:val="true"/>
        </w:rPr>
        <w:t xml:space="preserve"> </w:t>
      </w:r>
    </w:p>
    <w:p w:rsidR="009C0A0D" w:rsidRDefault="00000000" w14:paraId="3A771131" w14:textId="77777777">
      <w:pPr>
        <w:shd w:val="clear" w:color="auto" w:fill="FFFFFF"/>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sz w:val="24"/>
          <w:szCs w:val="24"/>
          <w:rtl w:val="true"/>
        </w:rPr>
        <w:t xml:space="preserve">فيما يتعلق بمشروع قرار مؤتمر الأطراف السابع عشر، نوصي الأطراف بما يلي: </w:t>
      </w:r>
    </w:p>
    <w:p w:rsidR="009C0A0D" w:rsidRDefault="009C0A0D" w14:paraId="04DB5115"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6CC242A8" w14:textId="77777777">
      <w:pPr>
        <w:numPr>
          <w:ilvl w:val="0"/>
          <w:numId w:val="2"/>
        </w:numPr>
        <w:spacing w:line="240" w:lineRule="auto"/>
        <w:rPr>
          <w:rFonts w:ascii="Twentieth Century" w:hAnsi="Twentieth Century" w:eastAsia="Twentieth Century" w:cs="Twentieth Century"/>
        </w:rPr>
      </w:pPr>
      <w:r>
        <w:rPr>
          <w:rFonts w:ascii="Simplified Arabic" w:hAnsi="Simplified Arabic" w:eastAsia="Simplified Arabic" w:cs="Simplified Arabic"/>
          <w:b/>
          <w:bCs/>
          <w:color w:val="00B050"/>
          <w:sz w:val="24"/>
          <w:szCs w:val="24"/>
          <w:rtl w:val="true"/>
        </w:rPr>
        <w:t xml:space="preserve">الإبقاء </w:t>
      </w:r>
      <w:r>
        <w:rPr>
          <w:rFonts w:ascii="Simplified Arabic" w:hAnsi="Simplified Arabic" w:eastAsia="Simplified Arabic" w:cs="Simplified Arabic"/>
          <w:color w:val="00B050"/>
          <w:sz w:val="24"/>
          <w:szCs w:val="24"/>
          <w:rtl w:val="true"/>
        </w:rPr>
        <w:t xml:space="preserve">على النص الوارد في مشروع القرار باء. </w:t>
      </w:r>
      <w:r>
        <w:rPr>
          <w:rFonts w:ascii="Simplified Arabic" w:hAnsi="Simplified Arabic" w:eastAsia="Simplified Arabic" w:cs="Simplified Arabic"/>
          <w:sz w:val="24"/>
          <w:szCs w:val="24"/>
          <w:rtl w:val="true"/>
        </w:rPr>
        <w:t xml:space="preserve">فالتلوث يمثل تهديداً خطيراً </w:t>
      </w:r>
      <w:r>
        <w:rPr>
          <w:rFonts w:ascii="Simplified Arabic" w:hAnsi="Simplified Arabic" w:eastAsia="Simplified Arabic" w:cs="Simplified Arabic"/>
          <w:sz w:val="24"/>
          <w:szCs w:val="24"/>
          <w:rtl w:val="true"/>
        </w:rPr>
        <w:t xml:space="preserve">للتنوع البيولوجي، </w:t>
      </w:r>
      <w:r>
        <w:rPr>
          <w:rFonts w:ascii="Simplified Arabic" w:hAnsi="Simplified Arabic" w:eastAsia="Simplified Arabic" w:cs="Simplified Arabic"/>
          <w:sz w:val="24"/>
          <w:szCs w:val="24"/>
          <w:rtl w:val="true"/>
        </w:rPr>
        <w:t xml:space="preserve">وغالباً ما يربط بين مجالات بيئية مختلفة وسلطات إدارية مختلفة (مثل التلوث البري </w:t>
      </w:r>
      <w:hyperlink r:id="rId24">
        <w:r>
          <w:rPr>
            <w:rFonts w:ascii="Simplified Arabic" w:hAnsi="Simplified Arabic" w:eastAsia="Simplified Arabic" w:cs="Simplified Arabic"/>
            <w:color w:val="1155CC"/>
            <w:sz w:val="24"/>
            <w:szCs w:val="24"/>
            <w:u w:val="single"/>
            <w:rtl w:val="true"/>
          </w:rPr>
          <w:t xml:space="preserve">الذي يؤثر على</w:t>
        </w:r>
      </w:hyperlink>
      <w:r>
        <w:rPr>
          <w:rFonts w:ascii="Simplified Arabic" w:hAnsi="Simplified Arabic" w:eastAsia="Simplified Arabic" w:cs="Simplified Arabic"/>
          <w:sz w:val="24"/>
          <w:szCs w:val="24"/>
          <w:rtl w:val="true"/>
        </w:rPr>
        <w:t xml:space="preserve"> المناطق البحرية المحمية). ويشكل هذا تحدياً فريداً وملحاً لوقف فقدان التنوع البيولوجي وعكس اتجاهه، وتتمتع اتفاقية التنوع البيولوجي بموقع جيد للاستثمار أكثر في هذا المجال. وفي حال </w:t>
      </w:r>
      <w:r>
        <w:rPr>
          <w:rFonts w:ascii="Simplified Arabic" w:hAnsi="Simplified Arabic" w:eastAsia="Simplified Arabic" w:cs="Simplified Arabic"/>
          <w:sz w:val="24"/>
          <w:szCs w:val="24"/>
          <w:rtl w:val="true"/>
        </w:rPr>
        <w:t xml:space="preserve">تمت الإشارة إلى أشكال </w:t>
      </w:r>
      <w:r>
        <w:rPr>
          <w:rFonts w:ascii="Simplified Arabic" w:hAnsi="Simplified Arabic" w:eastAsia="Simplified Arabic" w:cs="Simplified Arabic"/>
          <w:sz w:val="24"/>
          <w:szCs w:val="24"/>
          <w:rtl w:val="true"/>
        </w:rPr>
        <w:t xml:space="preserve">محددة </w:t>
      </w:r>
      <w:r>
        <w:rPr>
          <w:rFonts w:ascii="Simplified Arabic" w:hAnsi="Simplified Arabic" w:eastAsia="Simplified Arabic" w:cs="Simplified Arabic"/>
          <w:sz w:val="24"/>
          <w:szCs w:val="24"/>
          <w:rtl w:val="true"/>
        </w:rPr>
        <w:t xml:space="preserve">من التلوث، فإننا نحث على الإشارة إلى مياه الصرف الصحي، والضوضاء، وأشكال التلوث الأخرى التي تؤثر سلباً على الأنواع والنظم الإيكولوجية البحرية.</w:t>
      </w:r>
    </w:p>
    <w:p w:rsidR="009C0A0D" w:rsidRDefault="009C0A0D" w14:paraId="7384116D"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2C9D801B" w14:textId="77777777">
      <w:pPr>
        <w:pStyle w:val="Heading1"/>
        <w:rPr>
          <w:shd w:val="clear" w:color="auto" w:fill="C6C6C6"/>
        </w:rPr>
      </w:pPr>
      <w:bookmarkStart w:name="_grh24veb2skd" w:colFirst="0" w:colLast="0" w:id="8"/>
      <w:bookmarkEnd w:id="8"/>
      <w:r>
        <w:rPr>
          <w:rtl w:val="true"/>
        </w:rPr>
        <w:t xml:space="preserve">البند 18(أ) من جدول الأعمال: «التنوع البيولوجي وتغير المناخ» </w:t>
      </w:r>
    </w:p>
    <w:p w:rsidR="009C0A0D" w:rsidRDefault="00000000" w14:paraId="314848E0"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i/>
          <w:iCs/>
          <w:sz w:val="24"/>
          <w:szCs w:val="24"/>
          <w:rtl w:val="true"/>
        </w:rPr>
        <w:t xml:space="preserve">مشروع قرار مؤتمر الأطراف السابع عشر: </w:t>
      </w:r>
      <w:hyperlink r:id="rId25">
        <w:r>
          <w:rPr>
            <w:rFonts w:ascii="Simplified Arabic" w:hAnsi="Simplified Arabic" w:eastAsia="Simplified Arabic" w:cs="Simplified Arabic"/>
            <w:i/>
            <w:iCs/>
            <w:color w:val="0563C1"/>
            <w:sz w:val="24"/>
            <w:szCs w:val="24"/>
            <w:u w:val="single"/>
            <w:rtl w:val="true"/>
          </w:rPr>
          <w:t xml:space="preserve">SBSTTA/REC/27/3</w:t>
        </w:r>
      </w:hyperlink>
      <w:r>
        <w:rPr>
          <w:rFonts w:ascii="Simplified Arabic" w:hAnsi="Simplified Arabic" w:eastAsia="Simplified Arabic" w:cs="Simplified Arabic"/>
          <w:sz w:val="24"/>
          <w:szCs w:val="24"/>
          <w:shd w:val="clear" w:color="auto" w:fill="C6C6C6"/>
          <w:rtl w:val="true"/>
        </w:rPr>
        <w:t xml:space="preserve"> </w:t>
      </w:r>
    </w:p>
    <w:p w:rsidR="009C0A0D" w:rsidRDefault="00000000" w14:paraId="3D2094A3"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i/>
          <w:iCs/>
          <w:sz w:val="24"/>
          <w:szCs w:val="24"/>
          <w:rtl w:val="true"/>
        </w:rPr>
        <w:t xml:space="preserve">تقرير مرحلي عن التنوع البيولوجي وتغير المناخ: </w:t>
      </w:r>
      <w:hyperlink r:id="rId26">
        <w:r>
          <w:rPr>
            <w:rFonts w:ascii="Simplified Arabic" w:hAnsi="Simplified Arabic" w:eastAsia="Simplified Arabic" w:cs="Simplified Arabic"/>
            <w:i/>
            <w:iCs/>
            <w:color w:val="1155CC"/>
            <w:sz w:val="24"/>
            <w:szCs w:val="24"/>
            <w:u w:val="single"/>
            <w:rtl w:val="true"/>
          </w:rPr>
          <w:t xml:space="preserve">COP/17/11</w:t>
        </w:r>
      </w:hyperlink>
    </w:p>
    <w:p w:rsidR="009C0A0D" w:rsidRDefault="00000000" w14:paraId="25F31432"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sz w:val="24"/>
          <w:szCs w:val="24"/>
          <w:shd w:val="clear" w:color="auto" w:fill="C6C6C6"/>
          <w:rtl w:val="true"/>
        </w:rPr>
        <w:t xml:space="preserve"> </w:t>
      </w:r>
    </w:p>
    <w:p w:rsidR="009C0A0D" w:rsidRDefault="00000000" w14:paraId="795A99FA" w14:textId="77777777">
      <w:pPr>
        <w:shd w:val="clear" w:color="auto" w:fill="FFFFFF"/>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sz w:val="24"/>
          <w:szCs w:val="24"/>
          <w:rtl w:val="true"/>
        </w:rPr>
        <w:t xml:space="preserve">فيما يتعلق بمشروع قرار مؤتمر الأطراف السابع عشر، نوصي الأطراف بما يلي: </w:t>
      </w:r>
    </w:p>
    <w:p w:rsidR="009C0A0D" w:rsidRDefault="009C0A0D" w14:paraId="23D20787"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4B779BB0" w14:textId="77777777">
      <w:pPr>
        <w:numPr>
          <w:ilvl w:val="0"/>
          <w:numId w:val="2"/>
        </w:numPr>
        <w:spacing w:line="240" w:lineRule="auto"/>
        <w:rPr>
          <w:rFonts w:ascii="Twentieth Century" w:hAnsi="Twentieth Century" w:eastAsia="Twentieth Century" w:cs="Twentieth Century"/>
          <w:i/>
          <w:iCs/>
        </w:rPr>
      </w:pPr>
      <w:r>
        <w:rPr>
          <w:rFonts w:ascii="Simplified Arabic" w:hAnsi="Simplified Arabic" w:eastAsia="Simplified Arabic" w:cs="Simplified Arabic"/>
          <w:b/>
          <w:bCs/>
          <w:color w:val="00B050"/>
          <w:sz w:val="24"/>
          <w:szCs w:val="24"/>
          <w:rtl w:val="true"/>
        </w:rPr>
        <w:t xml:space="preserve">الإبقاء </w:t>
      </w:r>
      <w:r>
        <w:rPr>
          <w:rFonts w:ascii="Simplified Arabic" w:hAnsi="Simplified Arabic" w:eastAsia="Simplified Arabic" w:cs="Simplified Arabic"/>
          <w:color w:val="00B050"/>
          <w:sz w:val="24"/>
          <w:szCs w:val="24"/>
          <w:rtl w:val="true"/>
        </w:rPr>
        <w:t xml:space="preserve">على النص الوارد في الفقرة الفرعية (أ) من الفقرة 6 من مشروع قرار مؤتمر الأطراف السابع عشر، ولا سيما الجزء الذي يركز على سلامة النظم الإيكولوجية. </w:t>
      </w:r>
      <w:r>
        <w:rPr>
          <w:rFonts w:ascii="Simplified Arabic" w:hAnsi="Simplified Arabic" w:eastAsia="Simplified Arabic" w:cs="Simplified Arabic"/>
          <w:sz w:val="24"/>
          <w:szCs w:val="24"/>
          <w:rtl w:val="true"/>
        </w:rPr>
        <w:t xml:space="preserve">وتماشياً مع المقترحات المقدمة من </w:t>
      </w:r>
      <w:hyperlink r:id="rId27">
        <w:r>
          <w:rPr>
            <w:rFonts w:ascii="Simplified Arabic" w:hAnsi="Simplified Arabic" w:eastAsia="Simplified Arabic" w:cs="Simplified Arabic"/>
            <w:color w:val="0563C1"/>
            <w:sz w:val="24"/>
            <w:szCs w:val="24"/>
            <w:u w:val="single"/>
            <w:rtl w:val="true"/>
          </w:rPr>
          <w:t xml:space="preserve">جنوب أفريقيا </w:t>
        </w:r>
      </w:hyperlink>
      <w:hyperlink r:id="rId28">
        <w:r>
          <w:rPr>
            <w:rFonts w:ascii="Simplified Arabic" w:hAnsi="Simplified Arabic" w:eastAsia="Simplified Arabic" w:cs="Simplified Arabic"/>
            <w:color w:val="0563C1"/>
            <w:sz w:val="24"/>
            <w:szCs w:val="24"/>
            <w:u w:val="single"/>
            <w:rtl w:val="true"/>
          </w:rPr>
          <w:t xml:space="preserve">وكولومبيا </w:t>
        </w:r>
      </w:hyperlink>
      <w:hyperlink r:id="rId29">
        <w:r>
          <w:rPr>
            <w:rFonts w:ascii="Simplified Arabic" w:hAnsi="Simplified Arabic" w:eastAsia="Simplified Arabic" w:cs="Simplified Arabic"/>
            <w:color w:val="0563C1"/>
            <w:sz w:val="24"/>
            <w:szCs w:val="24"/>
            <w:u w:val="single"/>
            <w:rtl w:val="true"/>
          </w:rPr>
          <w:t xml:space="preserve">ونيوزيلندا</w:t>
        </w:r>
      </w:hyperlink>
      <w:r>
        <w:rPr>
          <w:rFonts w:ascii="Simplified Arabic" w:hAnsi="Simplified Arabic" w:eastAsia="Simplified Arabic" w:cs="Simplified Arabic"/>
          <w:sz w:val="24"/>
          <w:szCs w:val="24"/>
          <w:rtl w:val="true"/>
        </w:rPr>
        <w:t xml:space="preserve">، من الضروري اعتبار سلامة النظم الإيكولوجية رابطاً أساسياً للإجراءات التآزرية المتعلقة بفقدان التنوع البيولوجي وتغير المناخ. فالأدلة واضحة على أن سلامة النظم الإيكولوجية هي المحرك الرئيسي لخدمات تنظيم المناخ وتوفر عوائد خارجية على الاستثمار في كل من التخفيف من آثار تغير المناخ والتكيف معه واستعادة التنوع البيولوجي. </w:t>
      </w:r>
    </w:p>
    <w:p w:rsidR="009C0A0D" w:rsidRDefault="00000000" w14:paraId="469C7A04" w14:textId="77777777">
      <w:pPr>
        <w:numPr>
          <w:ilvl w:val="0"/>
          <w:numId w:val="2"/>
        </w:numPr>
        <w:spacing w:line="240" w:lineRule="auto"/>
        <w:rPr>
          <w:rFonts w:ascii="Twentieth Century" w:hAnsi="Twentieth Century" w:eastAsia="Twentieth Century" w:cs="Twentieth Century"/>
          <w:i/>
          <w:iCs/>
        </w:rPr>
      </w:pPr>
      <w:r>
        <w:rPr>
          <w:rFonts w:ascii="Simplified Arabic" w:hAnsi="Simplified Arabic" w:eastAsia="Simplified Arabic" w:cs="Simplified Arabic"/>
          <w:b/>
          <w:bCs/>
          <w:color w:val="0070C0"/>
          <w:sz w:val="24"/>
          <w:szCs w:val="24"/>
          <w:rtl w:val="true"/>
        </w:rPr>
        <w:t xml:space="preserve">تعديل </w:t>
      </w:r>
      <w:r>
        <w:rPr>
          <w:rFonts w:ascii="Simplified Arabic" w:hAnsi="Simplified Arabic" w:eastAsia="Simplified Arabic" w:cs="Simplified Arabic"/>
          <w:color w:val="0070C0"/>
          <w:sz w:val="24"/>
          <w:szCs w:val="24"/>
          <w:rtl w:val="true"/>
        </w:rPr>
        <w:t xml:space="preserve">النص الوارد في الفقرة 15 من الجزء الافتتاحي (OP15) لطلب أن يأخذ الأمين التنفيذي في الاعتبار خارطة الطريق متعددة المستويات في التواصل مع النظراء ضمن اتفاقيات ريو الأخرى، بما في ذلك اتفاقية الأمم المتحدة الإطارية بشأن تغير المناخ (UNFCCC). </w:t>
      </w:r>
      <w:r>
        <w:rPr>
          <w:rFonts w:ascii="Simplified Arabic" w:hAnsi="Simplified Arabic" w:eastAsia="Simplified Arabic" w:cs="Simplified Arabic"/>
          <w:sz w:val="24"/>
          <w:szCs w:val="24"/>
          <w:rtl w:val="true"/>
        </w:rPr>
        <w:t xml:space="preserve">توفر خارطة الطريق متعددة المستويات وعناصرها أساساً ملموساً لمزيد من المناقشة بين الأطراف في اتفاقيات ريو المختلفة، وكذلك هيئاتها الإدارية. </w:t>
      </w:r>
    </w:p>
    <w:p w:rsidR="009C0A0D" w:rsidRDefault="009C0A0D" w14:paraId="7C01C570"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6B005FA8" w14:textId="77777777">
      <w:pPr>
        <w:pStyle w:val="Heading1"/>
        <w:rPr>
          <w:shd w:val="clear" w:color="auto" w:fill="C6C6C6"/>
        </w:rPr>
      </w:pPr>
      <w:bookmarkStart w:name="_k6m2qky3qvb7" w:colFirst="0" w:colLast="0" w:id="9"/>
      <w:bookmarkEnd w:id="9"/>
      <w:r>
        <w:rPr>
          <w:rtl w:val="true"/>
        </w:rPr>
        <w:t xml:space="preserve">البند 18(ب) من جدول الأعمال: «الإدارة المستدامة للحياة البرية» </w:t>
      </w:r>
    </w:p>
    <w:p w:rsidR="009C0A0D" w:rsidRDefault="00000000" w14:paraId="0862A78C"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Simplified Arabic" w:hAnsi="Simplified Arabic" w:eastAsia="Simplified Arabic" w:cs="Simplified Arabic"/>
          <w:i/>
          <w:iCs/>
          <w:sz w:val="24"/>
          <w:szCs w:val="24"/>
          <w:rtl w:val="true"/>
        </w:rPr>
        <w:t xml:space="preserve">مشروع قرار مؤتمر الأطراف السابع عشر: </w:t>
      </w:r>
      <w:hyperlink r:id="rId30">
        <w:r>
          <w:rPr>
            <w:rFonts w:ascii="Simplified Arabic" w:hAnsi="Simplified Arabic" w:eastAsia="Simplified Arabic" w:cs="Simplified Arabic"/>
            <w:i/>
            <w:iCs/>
            <w:color w:val="0070C0"/>
            <w:sz w:val="24"/>
            <w:szCs w:val="24"/>
            <w:u w:val="single"/>
            <w:rtl w:val="true"/>
          </w:rPr>
          <w:t xml:space="preserve">SBSTTA/REC/28/4</w:t>
        </w:r>
      </w:hyperlink>
    </w:p>
    <w:p w:rsidR="009C0A0D" w:rsidRDefault="00000000" w14:paraId="4BC24E8C"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sz w:val="24"/>
          <w:szCs w:val="24"/>
          <w:shd w:val="clear" w:color="auto" w:fill="C6C6C6"/>
          <w:rtl w:val="true"/>
        </w:rPr>
        <w:t xml:space="preserve"> </w:t>
      </w:r>
    </w:p>
    <w:p w:rsidR="009C0A0D" w:rsidRDefault="00000000" w14:paraId="784C1C89" w14:textId="77777777">
      <w:pPr>
        <w:shd w:val="clear" w:color="auto" w:fill="FFFFFF"/>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sz w:val="24"/>
          <w:szCs w:val="24"/>
          <w:rtl w:val="true"/>
        </w:rPr>
        <w:t xml:space="preserve">فيما يتعلق بمشروع قرار مؤتمر الأطراف السابع عشر، نوصي الأطراف بما يلي: </w:t>
      </w:r>
    </w:p>
    <w:p w:rsidR="009C0A0D" w:rsidRDefault="009C0A0D" w14:paraId="1AEF9F25"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75B90D27" w14:textId="77777777">
      <w:pPr>
        <w:numPr>
          <w:ilvl w:val="0"/>
          <w:numId w:val="1"/>
        </w:numPr>
        <w:spacing w:line="240" w:lineRule="auto"/>
        <w:rPr>
          <w:rFonts w:ascii="Twentieth Century" w:hAnsi="Twentieth Century" w:eastAsia="Twentieth Century" w:cs="Twentieth Century"/>
          <w:sz w:val="20"/>
          <w:szCs w:val="20"/>
        </w:rPr>
      </w:pPr>
      <w:r>
        <w:rPr>
          <w:rFonts w:ascii="Simplified Arabic" w:hAnsi="Simplified Arabic" w:eastAsia="Simplified Arabic" w:cs="Simplified Arabic"/>
          <w:b/>
          <w:bCs/>
          <w:color w:val="00B050"/>
          <w:sz w:val="24"/>
          <w:szCs w:val="24"/>
          <w:rtl w:val="true"/>
        </w:rPr>
        <w:t xml:space="preserve">الاحتفاظ </w:t>
      </w:r>
      <w:r>
        <w:rPr>
          <w:rFonts w:ascii="Simplified Arabic" w:hAnsi="Simplified Arabic" w:eastAsia="Simplified Arabic" w:cs="Simplified Arabic"/>
          <w:color w:val="00B050"/>
          <w:sz w:val="24"/>
          <w:szCs w:val="24"/>
          <w:rtl w:val="true"/>
        </w:rPr>
        <w:t xml:space="preserve">بالمبادئ والمجالات المواضيعية الواردة في التوجيهات الطوعية، مع ضمان ألا يؤثر الاستخدام المستدام للتنوع البيولوجي على السلامة البيئية. </w:t>
      </w:r>
      <w:r>
        <w:rPr>
          <w:rFonts w:ascii="Simplified Arabic" w:hAnsi="Simplified Arabic" w:eastAsia="Simplified Arabic" w:cs="Simplified Arabic"/>
          <w:sz w:val="24"/>
          <w:szCs w:val="24"/>
          <w:rtl w:val="true"/>
        </w:rPr>
        <w:t xml:space="preserve">فالتنفيذ المجزأ و/أو الآثار التراكمية غير المتوقعة من العوامل الرئيسية المؤدية إلى انهيار النظم الإيكولوجية. </w:t>
      </w:r>
      <w:r>
        <w:rPr>
          <w:rFonts w:ascii="Simplified Arabic" w:hAnsi="Simplified Arabic" w:eastAsia="Simplified Arabic" w:cs="Simplified Arabic"/>
          <w:sz w:val="24"/>
          <w:szCs w:val="24"/>
          <w:rtl w:val="true"/>
        </w:rPr>
        <w:t xml:space="preserve">ويُعد</w:t>
      </w:r>
      <w:r>
        <w:rPr>
          <w:rFonts w:ascii="Simplified Arabic" w:hAnsi="Simplified Arabic" w:eastAsia="Simplified Arabic" w:cs="Simplified Arabic"/>
          <w:sz w:val="24"/>
          <w:szCs w:val="24"/>
          <w:rtl w:val="true"/>
        </w:rPr>
        <w:t xml:space="preserve"> المجال المواضيعي الوارد في التوجيهات بشأن السلامة البيئية، بما في ذلك الضمانات التي تنص على </w:t>
      </w:r>
      <w:r>
        <w:rPr>
          <w:rFonts w:ascii="Simplified Arabic" w:hAnsi="Simplified Arabic" w:eastAsia="Simplified Arabic" w:cs="Simplified Arabic"/>
          <w:i/>
          <w:iCs/>
          <w:sz w:val="24"/>
          <w:szCs w:val="24"/>
          <w:rtl w:val="true"/>
        </w:rPr>
        <w:t xml:space="preserve">أن</w:t>
      </w:r>
      <w:r>
        <w:rPr>
          <w:rFonts w:ascii="Simplified Arabic" w:hAnsi="Simplified Arabic" w:eastAsia="Simplified Arabic" w:cs="Simplified Arabic"/>
          <w:sz w:val="24"/>
          <w:szCs w:val="24"/>
          <w:rtl w:val="true"/>
        </w:rPr>
        <w:t xml:space="preserve"> الإدارة المستدامة للحياة البرية </w:t>
      </w:r>
      <w:r>
        <w:rPr>
          <w:rFonts w:ascii="Simplified Arabic" w:hAnsi="Simplified Arabic" w:eastAsia="Simplified Arabic" w:cs="Simplified Arabic"/>
          <w:i/>
          <w:iCs/>
          <w:sz w:val="24"/>
          <w:szCs w:val="24"/>
          <w:rtl w:val="true"/>
        </w:rPr>
        <w:t xml:space="preserve">«ينبغي أن تحافظ على سلامة النظم الإيكولوجية والتنوع البيولوجي، مع ضمان ألا تؤدي الإدارة إلى تدهور الموائل على المدى الطويل، أو فقدان وظائف النظم الإيكولوجية، أو إدخال أنواع غريبة غازية وانتشارها»، </w:t>
      </w:r>
      <w:r>
        <w:rPr>
          <w:rFonts w:ascii="Simplified Arabic" w:hAnsi="Simplified Arabic" w:eastAsia="Simplified Arabic" w:cs="Simplified Arabic"/>
          <w:sz w:val="24"/>
          <w:szCs w:val="24"/>
          <w:rtl w:val="true"/>
        </w:rPr>
        <w:t xml:space="preserve">حاجزاً وقائياً أساسياً لضمان أن يكون الاستخدام المستدام مستداماً حقاً.</w:t>
      </w:r>
    </w:p>
    <w:p w:rsidR="009C0A0D" w:rsidRDefault="00000000" w14:paraId="573A92A5" w14:textId="77777777">
      <w:pPr>
        <w:numPr>
          <w:ilvl w:val="0"/>
          <w:numId w:val="1"/>
        </w:numPr>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b/>
          <w:bCs/>
          <w:color w:val="0070C0"/>
          <w:sz w:val="24"/>
          <w:szCs w:val="24"/>
          <w:rtl w:val="true"/>
        </w:rPr>
        <w:t xml:space="preserve">تعديل </w:t>
      </w:r>
      <w:r>
        <w:rPr>
          <w:rFonts w:ascii="Simplified Arabic" w:hAnsi="Simplified Arabic" w:eastAsia="Simplified Arabic" w:cs="Simplified Arabic"/>
          <w:color w:val="0070C0"/>
          <w:sz w:val="24"/>
          <w:szCs w:val="24"/>
          <w:rtl w:val="true"/>
        </w:rPr>
        <w:t xml:space="preserve">النص لإضافة «الموافقة الحرة والمسبقة والمستنيرة» (FPIC) إلى الفقرة 2 </w:t>
      </w:r>
      <w:r>
        <w:rPr>
          <w:rFonts w:ascii="Simplified Arabic" w:hAnsi="Simplified Arabic" w:eastAsia="Simplified Arabic" w:cs="Simplified Arabic"/>
          <w:sz w:val="24"/>
          <w:szCs w:val="24"/>
          <w:rtl w:val="true"/>
        </w:rPr>
        <w:t xml:space="preserve">من المبدأ</w:t>
      </w:r>
      <w:r>
        <w:rPr>
          <w:rFonts w:ascii="Simplified Arabic" w:hAnsi="Simplified Arabic" w:eastAsia="Simplified Arabic" w:cs="Simplified Arabic"/>
          <w:color w:val="0070C0"/>
          <w:sz w:val="24"/>
          <w:szCs w:val="24"/>
          <w:rtl w:val="true"/>
        </w:rPr>
        <w:t xml:space="preserve"> التوجيهي</w:t>
      </w:r>
      <w:r>
        <w:rPr>
          <w:rFonts w:ascii="Simplified Arabic" w:hAnsi="Simplified Arabic" w:eastAsia="Simplified Arabic" w:cs="Simplified Arabic"/>
          <w:color w:val="00B050"/>
          <w:sz w:val="24"/>
          <w:szCs w:val="24"/>
          <w:rtl w:val="true"/>
        </w:rPr>
        <w:t xml:space="preserve">. </w:t>
      </w:r>
      <w:r>
        <w:rPr>
          <w:rFonts w:ascii="Simplified Arabic" w:hAnsi="Simplified Arabic" w:eastAsia="Simplified Arabic" w:cs="Simplified Arabic"/>
          <w:sz w:val="24"/>
          <w:szCs w:val="24"/>
          <w:rtl w:val="true"/>
        </w:rPr>
        <w:t xml:space="preserve">وقد أشارت الفقرة 23 من التوجيهات العالمية الطوعية بشأن الإدارة المستدامة للحياة البرية صراحةً إلى أن عمليات صنع القرار يجب أن تسترشد </w:t>
      </w:r>
      <w:r>
        <w:rPr>
          <w:rFonts w:ascii="Simplified Arabic" w:hAnsi="Simplified Arabic" w:eastAsia="Simplified Arabic" w:cs="Simplified Arabic"/>
          <w:sz w:val="24"/>
          <w:szCs w:val="24"/>
          <w:rtl w:val="true"/>
        </w:rPr>
        <w:t xml:space="preserve">بالموافقة</w:t>
      </w:r>
      <w:r>
        <w:rPr>
          <w:rFonts w:ascii="Simplified Arabic" w:hAnsi="Simplified Arabic" w:eastAsia="Simplified Arabic" w:cs="Simplified Arabic"/>
          <w:sz w:val="24"/>
          <w:szCs w:val="24"/>
          <w:rtl w:val="true"/>
        </w:rPr>
        <w:t xml:space="preserve"> الحرة والمسبقة والمستنيرة</w:t>
      </w:r>
      <w:r>
        <w:rPr>
          <w:rFonts w:ascii="Simplified Arabic" w:hAnsi="Simplified Arabic" w:eastAsia="Simplified Arabic" w:cs="Simplified Arabic"/>
          <w:sz w:val="24"/>
          <w:szCs w:val="24"/>
          <w:rtl w:val="true"/>
        </w:rPr>
        <w:lastRenderedPageBreak/>
      </w:r>
      <w:r>
        <w:rPr>
          <w:rFonts w:ascii="Simplified Arabic" w:hAnsi="Simplified Arabic" w:eastAsia="Simplified Arabic" w:cs="Simplified Arabic"/>
          <w:sz w:val="24"/>
          <w:szCs w:val="24"/>
          <w:rtl w:val="true"/>
        </w:rPr>
        <w:t xml:space="preserve"> وفقًا لما يلي: </w:t>
      </w:r>
      <w:r>
        <w:rPr>
          <w:rFonts w:ascii="Simplified Arabic" w:hAnsi="Simplified Arabic" w:eastAsia="Simplified Arabic" w:cs="Simplified Arabic"/>
          <w:i/>
          <w:iCs/>
          <w:sz w:val="24"/>
          <w:szCs w:val="24"/>
          <w:rtl w:val="true"/>
        </w:rPr>
        <w:t xml:space="preserve">«23. ينبغي أن تسترشد عمليات اتخاذ القرار التي تؤثر على استخدام الحياة البرية وإدارتها بمبدأ الموافقة الحرة والمسبقة والمستنيرة (FPIC)، بما يضمن تمكين الشعوب الأصلية والمجتمعات المحلية من المشاركة بفعالية واتخاذ قرارات مستنيرة طوال عمليات التخطيط والتنفيذ والرصد والمراجعة." </w:t>
      </w:r>
      <w:r>
        <w:rPr>
          <w:rFonts w:ascii="Simplified Arabic" w:hAnsi="Simplified Arabic" w:eastAsia="Simplified Arabic" w:cs="Simplified Arabic"/>
          <w:sz w:val="24"/>
          <w:szCs w:val="24"/>
          <w:rtl w:val="true"/>
        </w:rPr>
        <w:t xml:space="preserve">ومن شأن الإشارة المحددة إلى مبدأ الموافقة الحرة والمسبقة والمستنيرة (FPIC) في سياق الفقرة 2 من الجزء التنفيذي أن تدرج هذا المفهوم الهام في قرار مؤتمر الأطراف. </w:t>
      </w:r>
    </w:p>
    <w:p w:rsidR="009C0A0D" w:rsidRDefault="009C0A0D" w14:paraId="7D1898FB"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3B1DB9B" w14:textId="77777777">
      <w:pPr>
        <w:pStyle w:val="Heading1"/>
        <w:rPr>
          <w:shd w:val="clear" w:color="auto" w:fill="C6C6C6"/>
        </w:rPr>
      </w:pPr>
      <w:bookmarkStart w:name="_wgymsuqvv2tw" w:colFirst="0" w:colLast="0" w:id="10"/>
      <w:bookmarkEnd w:id="10"/>
      <w:r>
        <w:rPr>
          <w:rtl w:val="true"/>
        </w:rPr>
        <w:t xml:space="preserve">البند 18(د) من جدول الأعمال: «التنوع البيولوجي والصحة» </w:t>
      </w:r>
    </w:p>
    <w:p w:rsidR="009C0A0D" w:rsidRDefault="00000000" w14:paraId="49429DE7"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i/>
          <w:iCs/>
          <w:sz w:val="24"/>
          <w:szCs w:val="24"/>
          <w:rtl w:val="true"/>
        </w:rPr>
        <w:t xml:space="preserve">مشروع قرار مؤتمر الأطراف السابع عشر: </w:t>
      </w:r>
      <w:hyperlink r:id="rId31">
        <w:r>
          <w:rPr>
            <w:rFonts w:ascii="Simplified Arabic" w:hAnsi="Simplified Arabic" w:eastAsia="Simplified Arabic" w:cs="Simplified Arabic"/>
            <w:i/>
            <w:iCs/>
            <w:color w:val="0563C1"/>
            <w:sz w:val="24"/>
            <w:szCs w:val="24"/>
            <w:u w:val="single"/>
            <w:rtl w:val="true"/>
          </w:rPr>
          <w:t xml:space="preserve">SBSTTA/REC/27/10</w:t>
        </w:r>
      </w:hyperlink>
      <w:r>
        <w:rPr>
          <w:rFonts w:ascii="Simplified Arabic" w:hAnsi="Simplified Arabic" w:eastAsia="Simplified Arabic" w:cs="Simplified Arabic"/>
          <w:sz w:val="24"/>
          <w:szCs w:val="24"/>
          <w:shd w:val="clear" w:color="auto" w:fill="C6C6C6"/>
          <w:rtl w:val="true"/>
        </w:rPr>
        <w:t xml:space="preserve"> </w:t>
      </w:r>
    </w:p>
    <w:p w:rsidR="009C0A0D" w:rsidRDefault="00000000" w14:paraId="1BB08388"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Simplified Arabic" w:hAnsi="Simplified Arabic" w:eastAsia="Simplified Arabic" w:cs="Simplified Arabic"/>
          <w:i/>
          <w:iCs/>
          <w:sz w:val="24"/>
          <w:szCs w:val="24"/>
          <w:rtl w:val="true"/>
        </w:rPr>
        <w:t xml:space="preserve">تقرير مرحلي من أمانة اتفاقية التنوع البيولوجي بشأن التنوع البيولوجي والصحة: </w:t>
      </w:r>
      <w:hyperlink r:id="rId32">
        <w:r>
          <w:rPr>
            <w:rFonts w:ascii="Simplified Arabic" w:hAnsi="Simplified Arabic" w:eastAsia="Simplified Arabic" w:cs="Simplified Arabic"/>
            <w:i/>
            <w:iCs/>
            <w:color w:val="0070C0"/>
            <w:sz w:val="24"/>
            <w:szCs w:val="24"/>
            <w:u w:val="single"/>
            <w:rtl w:val="true"/>
          </w:rPr>
          <w:t xml:space="preserve">COP/17/7</w:t>
        </w:r>
      </w:hyperlink>
    </w:p>
    <w:p w:rsidR="009C0A0D" w:rsidRDefault="00000000" w14:paraId="5DB2BF5D"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Simplified Arabic" w:hAnsi="Simplified Arabic" w:eastAsia="Simplified Arabic" w:cs="Simplified Arabic"/>
          <w:sz w:val="24"/>
          <w:szCs w:val="24"/>
          <w:shd w:val="clear" w:color="auto" w:fill="C6C6C6"/>
          <w:rtl w:val="true"/>
        </w:rPr>
        <w:t xml:space="preserve"> </w:t>
      </w:r>
    </w:p>
    <w:p w:rsidR="009C0A0D" w:rsidRDefault="00000000" w14:paraId="2D642D26" w14:textId="77777777">
      <w:pPr>
        <w:shd w:val="clear" w:color="auto" w:fill="FFFFFF"/>
        <w:spacing w:line="240" w:lineRule="auto"/>
        <w:rPr>
          <w:rFonts w:ascii="Twentieth Century" w:hAnsi="Twentieth Century" w:eastAsia="Twentieth Century" w:cs="Twentieth Century"/>
          <w:i/>
          <w:iCs/>
          <w:color w:val="999999"/>
        </w:rPr>
      </w:pPr>
      <w:r>
        <w:rPr>
          <w:rFonts w:ascii="Simplified Arabic" w:hAnsi="Simplified Arabic" w:eastAsia="Simplified Arabic" w:cs="Simplified Arabic"/>
          <w:i/>
          <w:iCs/>
          <w:color w:val="999999"/>
          <w:rtl w:val="true"/>
        </w:rPr>
        <w:t xml:space="preserve">يرجى ملاحظة ما يلي: ستتاح وثيقة من صفحة واحدة تتعلق بقائمة المؤشرات التي تم تجميعها في المرفق الثاني للوثيقة 17/7 على </w:t>
      </w:r>
      <w:hyperlink r:id="rId33">
        <w:r>
          <w:rPr>
            <w:rFonts w:ascii="Simplified Arabic" w:hAnsi="Simplified Arabic" w:eastAsia="Simplified Arabic" w:cs="Simplified Arabic"/>
            <w:i/>
            <w:iCs/>
            <w:color w:val="999999"/>
            <w:u w:val="single"/>
            <w:rtl w:val="true"/>
          </w:rPr>
          <w:t xml:space="preserve">الموقع wcs.org/cbd</w:t>
        </w:r>
      </w:hyperlink>
      <w:r>
        <w:rPr>
          <w:rFonts w:ascii="Simplified Arabic" w:hAnsi="Simplified Arabic" w:eastAsia="Simplified Arabic" w:cs="Simplified Arabic"/>
          <w:i/>
          <w:iCs/>
          <w:color w:val="999999"/>
          <w:rtl w:val="true"/>
        </w:rPr>
        <w:t xml:space="preserve">. ومع ذلك، فإننا نقر بضرورة عقد حلقة عمل للخبراء قبل الاجتماع المقبل للهيئة الفرعية العلمية والتقنية (SBSTTA) في 2027/2028، ونؤيد ذلك. </w:t>
      </w:r>
    </w:p>
    <w:p w:rsidR="009C0A0D" w:rsidRDefault="009C0A0D" w14:paraId="7724E6E3"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DBA9BBB" w14:textId="77777777">
      <w:pPr>
        <w:shd w:val="clear" w:color="auto" w:fill="FFFFFF"/>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sz w:val="24"/>
          <w:szCs w:val="24"/>
          <w:rtl w:val="true"/>
        </w:rPr>
        <w:t xml:space="preserve">فيما يتعلق بمشروع قرار مؤتمر الأطراف السابع عشر، نوصي الأطراف بما يلي: </w:t>
      </w:r>
    </w:p>
    <w:p w:rsidR="009C0A0D" w:rsidRDefault="009C0A0D" w14:paraId="5AF54C25"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0F7700E9" w14:textId="77777777">
      <w:pPr>
        <w:numPr>
          <w:ilvl w:val="0"/>
          <w:numId w:val="2"/>
        </w:numPr>
        <w:spacing w:line="240" w:lineRule="auto"/>
        <w:rPr>
          <w:rFonts w:ascii="Twentieth Century" w:hAnsi="Twentieth Century" w:eastAsia="Twentieth Century" w:cs="Twentieth Century"/>
          <w:i/>
          <w:iCs/>
        </w:rPr>
      </w:pPr>
      <w:r>
        <w:rPr>
          <w:rFonts w:ascii="Simplified Arabic" w:hAnsi="Simplified Arabic" w:eastAsia="Simplified Arabic" w:cs="Simplified Arabic"/>
          <w:b/>
          <w:bCs/>
          <w:color w:val="00B050"/>
          <w:sz w:val="24"/>
          <w:szCs w:val="24"/>
          <w:rtl w:val="true"/>
        </w:rPr>
        <w:t xml:space="preserve">الإبقاء على </w:t>
      </w:r>
      <w:r>
        <w:rPr>
          <w:rFonts w:ascii="Simplified Arabic" w:hAnsi="Simplified Arabic" w:eastAsia="Simplified Arabic" w:cs="Simplified Arabic"/>
          <w:color w:val="00B050"/>
          <w:sz w:val="24"/>
          <w:szCs w:val="24"/>
          <w:rtl w:val="true"/>
        </w:rPr>
        <w:t xml:space="preserve">[إزالة الأقواس من] النص الوارد في الفقرة 2 من الأغراض التي ترحب باتفاق منظمة الصحة العالمية بشأن الوقاية من الجائحة والتأهب لها والاستجابة لها. </w:t>
      </w:r>
      <w:r>
        <w:rPr>
          <w:rFonts w:ascii="Simplified Arabic" w:hAnsi="Simplified Arabic" w:eastAsia="Simplified Arabic" w:cs="Simplified Arabic"/>
          <w:sz w:val="24"/>
          <w:szCs w:val="24"/>
          <w:rtl w:val="true"/>
        </w:rPr>
        <w:t xml:space="preserve">ويُعد اعتماد اتفاق منظمة الصحة العالمية اتفاقاً تاريخياً له آثار كبيرة على إدارة التنوع البيولوجي </w:t>
      </w:r>
      <w:r>
        <w:rPr>
          <w:rFonts w:ascii="Simplified Arabic" w:hAnsi="Simplified Arabic" w:eastAsia="Simplified Arabic" w:cs="Simplified Arabic"/>
          <w:sz w:val="24"/>
          <w:szCs w:val="24"/>
          <w:rtl w:val="true"/>
        </w:rPr>
        <w:t xml:space="preserve">من أجل </w:t>
      </w:r>
      <w:r>
        <w:rPr>
          <w:rFonts w:ascii="Simplified Arabic" w:hAnsi="Simplified Arabic" w:eastAsia="Simplified Arabic" w:cs="Simplified Arabic"/>
          <w:sz w:val="24"/>
          <w:szCs w:val="24"/>
          <w:rtl w:val="true"/>
        </w:rPr>
        <w:t xml:space="preserve">الوقاية من الجائحة التالية ذات الأصل الحيواني. وقد صُممت خطة العمل العالمية بحيث تكون متوافقة ومكملة للأنشطة التي ينص عليها اتفاق منظمة الصحة العالمية. ومع ذلك، فإن زيادة الحوار وتقديم الدعم للأطراف أمر ضروري لضمان دمج الاستراتيجيات المتعلقة بالتنوع البيولوجي أو ذات الصلة بالوقاية من المصدر، أو الوقاية الشاملة، في الاستراتيجيات والخطط الوطنية لـ«الصحة الواحدة».</w:t>
      </w:r>
    </w:p>
    <w:p w:rsidR="009C0A0D" w:rsidRDefault="00000000" w14:paraId="636A9979" w14:textId="77777777">
      <w:pPr>
        <w:numPr>
          <w:ilvl w:val="0"/>
          <w:numId w:val="2"/>
        </w:numPr>
        <w:spacing w:line="240" w:lineRule="auto"/>
        <w:rPr>
          <w:rFonts w:ascii="Twentieth Century" w:hAnsi="Twentieth Century" w:eastAsia="Twentieth Century" w:cs="Twentieth Century"/>
          <w:sz w:val="24"/>
          <w:szCs w:val="24"/>
        </w:rPr>
      </w:pPr>
      <w:r>
        <w:rPr>
          <w:rFonts w:ascii="Simplified Arabic" w:hAnsi="Simplified Arabic" w:eastAsia="Simplified Arabic" w:cs="Simplified Arabic"/>
          <w:b/>
          <w:bCs/>
          <w:color w:val="00B050"/>
          <w:sz w:val="24"/>
          <w:szCs w:val="24"/>
          <w:rtl w:val="true"/>
        </w:rPr>
        <w:t xml:space="preserve">الإبقاء على </w:t>
      </w:r>
      <w:r>
        <w:rPr>
          <w:rFonts w:ascii="Simplified Arabic" w:hAnsi="Simplified Arabic" w:eastAsia="Simplified Arabic" w:cs="Simplified Arabic"/>
          <w:color w:val="00B050"/>
          <w:sz w:val="24"/>
          <w:szCs w:val="24"/>
          <w:rtl w:val="true"/>
        </w:rPr>
        <w:t xml:space="preserve">[إزالة الأقواس من] النص الوارد في الفقرة 7 من جدول الأعمال، ولا سيما في الفقرة الفرعية غير الموضوعة بين أقواس والتي تطلب من الأمانة العامة تجميع المعلومات الواردة من الأطراف بشأن تنفيذ خطة العمل العالمية وتعميم الروابط المتبادلة بين التنوع البيولوجي والصحة.</w:t>
      </w:r>
      <w:r>
        <w:rPr>
          <w:rFonts w:ascii="Simplified Arabic" w:hAnsi="Simplified Arabic" w:eastAsia="Simplified Arabic" w:cs="Simplified Arabic"/>
          <w:sz w:val="24"/>
          <w:szCs w:val="24"/>
          <w:rtl w:val="true"/>
        </w:rPr>
        <w:t xml:space="preserve"> لا توجد آلية رسمية لتقديم التقارير بشأن خطة العمل العالمية، وهذه خطوة مؤقتة حاسمة إلى أن يتسنى دمج المؤشرات والمقاييس بشكل أفضل في تنفيذ مبادرة «إدارة المعرفة - الإطار العالمي للتنوع البيولوجي» ودورة التخطيط والرصد وإعداد التقارير والاستعراض. </w:t>
      </w:r>
    </w:p>
    <w:sectPr w:rsidR="009C0A0D">
      <w:headerReference w:type="default" r:id="rId34"/>
      <w:headerReference w:type="first" r:id="rId35"/>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D75FC" w:rsidRDefault="003D75FC" w14:paraId="536E82BA" w14:textId="77777777">
      <w:pPr>
        <w:spacing w:line="240" w:lineRule="auto"/>
      </w:pPr>
      <w:r>
        <w:rPr>
          <w:rtl w:val="true"/>
        </w:rPr>
        <w:separator/>
      </w:r>
    </w:p>
  </w:endnote>
  <w:endnote w:type="continuationSeparator" w:id="0">
    <w:p w:rsidR="003D75FC" w:rsidRDefault="003D75FC" w14:paraId="1C54FB36" w14:textId="77777777">
      <w:pPr>
        <w:spacing w:line="240" w:lineRule="auto"/>
      </w:pPr>
      <w:r>
        <w:rPr>
          <w:rtl w:val="tru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embedRegular r:id="rId1" w:fontKey="{2E14507B-7A16-C849-95F1-BA2CED573463}"/>
  </w:font>
  <w:font w:name="Times New Roman">
    <w:panose1 w:val="02020603050405020304"/>
    <w:charset w:val="00"/>
    <w:family w:val="roman"/>
    <w:pitch w:val="variable"/>
    <w:sig w:usb0="E0002EFF" w:usb1="C000785B" w:usb2="00000009" w:usb3="00000000" w:csb0="000001FF" w:csb1="00000000"/>
    <w:embedRegular r:id="rId2" w:fontKey="{89764957-54A2-C34C-8AE6-4E7942CF2D24}"/>
  </w:font>
  <w:font w:name="Arial">
    <w:panose1 w:val="020B0604020202020204"/>
    <w:charset w:val="00"/>
    <w:family w:val="swiss"/>
    <w:pitch w:val="variable"/>
    <w:sig w:usb0="E0002AFF" w:usb1="C0007843" w:usb2="00000009" w:usb3="00000000" w:csb0="000001FF" w:csb1="00000000"/>
    <w:embedRegular r:id="rId3" w:fontKey="{7C1987C3-A418-EE48-9462-BC0A0C668178}"/>
    <w:embedItalic r:id="rId4" w:fontKey="{55164545-9D5B-374A-9234-1DCDF06E6C7A}"/>
  </w:font>
  <w:font w:name="Twentieth Century">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41F8F5F5-BDCF-A441-9025-F7D66A2868B0}"/>
  </w:font>
  <w:font w:name="Cambria">
    <w:panose1 w:val="02040503050406030204"/>
    <w:charset w:val="00"/>
    <w:family w:val="roman"/>
    <w:pitch w:val="variable"/>
    <w:sig w:usb0="E00006FF" w:usb1="420024FF" w:usb2="02000000" w:usb3="00000000" w:csb0="0000019F" w:csb1="00000000"/>
    <w:embedRegular r:id="rId9" w:fontKey="{FF509B26-167D-344A-ADEF-C5EDB62C5F7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D75FC" w:rsidRDefault="003D75FC" w14:paraId="09D12794" w14:textId="77777777">
      <w:pPr>
        <w:spacing w:line="240" w:lineRule="auto"/>
      </w:pPr>
      <w:r>
        <w:rPr>
          <w:rtl w:val="true"/>
        </w:rPr>
        <w:separator/>
      </w:r>
    </w:p>
  </w:footnote>
  <w:footnote w:type="continuationSeparator" w:id="0">
    <w:p w:rsidR="003D75FC" w:rsidRDefault="003D75FC" w14:paraId="5BD43C13" w14:textId="77777777">
      <w:pPr>
        <w:spacing w:line="240" w:lineRule="auto"/>
      </w:pPr>
      <w:r>
        <w:rPr>
          <w:rtl w:val="tru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C0A0D" w:rsidRDefault="00000000" w14:paraId="15151F6B" w14:textId="77777777">
    <w:pPr>
      <w:rPr>
        <w:rFonts w:ascii="Twentieth Century" w:hAnsi="Twentieth Century" w:eastAsia="Twentieth Century" w:cs="Twentieth Century"/>
        <w:color w:val="F9CB9C"/>
      </w:rPr>
    </w:pPr>
    <w:r>
      <w:rPr>
        <w:rFonts w:ascii="Simplified Arabic" w:hAnsi="Simplified Arabic" w:eastAsia="Simplified Arabic" w:cs="Simplified Arabic"/>
        <w:color w:val="F9CB9C"/>
        <w:rtl w:val="true"/>
      </w:rPr>
      <w:t xml:space="preserve">تاريخ التحديث: 9 سبتمبر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3444C9" w:rsidR="009C0A0D" w:rsidRDefault="003444C9" w14:paraId="02436478" w14:textId="2C70A13A">
    <w:pPr>
      <w:rPr>
        <w:rFonts w:ascii="Twentieth Century" w:hAnsi="Twentieth Century" w:eastAsia="Twentieth Century" w:cs="Twentieth Century"/>
        <w:color w:val="F9CB9C"/>
      </w:rPr>
    </w:pPr>
    <w:r w:rsidRPr="003444C9">
      <w:rPr>
        <w:rFonts w:ascii="Simplified Arabic" w:hAnsi="Simplified Arabic" w:eastAsia="Simplified Arabic" w:cs="Simplified Arabic"/>
        <w:color w:val="D99594" w:themeColor="accent2" w:themeTint="99"/>
        <w:rtl w:val="true"/>
      </w:rPr>
      <w:t xml:space="preserve">ترجمة آلية </w:t>
    </w:r>
    <w:r>
      <w:rPr>
        <w:rFonts w:ascii="Simplified Arabic" w:hAnsi="Simplified Arabic" w:eastAsia="Simplified Arabic" w:cs="Simplified Arabic"/>
        <w:color w:val="F9CB9C"/>
        <w:rtl w:val="true"/>
      </w:rPr>
      <w:t xml:space="preserve">-- </w:t>
    </w:r>
    <w:r w:rsidR="00000000">
      <w:rPr>
        <w:rFonts w:ascii="Simplified Arabic" w:hAnsi="Simplified Arabic" w:eastAsia="Simplified Arabic" w:cs="Simplified Arabic"/>
        <w:color w:val="F9CB9C"/>
        <w:rtl w:val="true"/>
      </w:rPr>
      <w:t xml:space="preserve">تم التحديث: 30 سبتمبر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9B1ED7"/>
    <w:multiLevelType w:val="multilevel"/>
    <w:tmpl w:val="8918EAA0"/>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87E3352"/>
    <w:multiLevelType w:val="multilevel"/>
    <w:tmpl w:val="0C0A3702"/>
    <w:lvl w:ilvl="0">
      <w:start w:val="1"/>
      <w:numFmt w:val="bullet"/>
      <w:lvlText w:val="●"/>
      <w:lvlJc w:val="left"/>
      <w:pPr>
        <w:ind w:left="720" w:hanging="360"/>
      </w:pPr>
      <w:rPr>
        <w:color w:val="000000"/>
        <w:sz w:val="20"/>
        <w:szCs w:val="20"/>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99666910">
    <w:abstractNumId w:val="0"/>
  </w:num>
  <w:num w:numId="2" w16cid:durableId="39015922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A0D"/>
    <w:rsid w:val="003444C9"/>
    <w:rsid w:val="003D75FC"/>
    <w:rsid w:val="009C0A0D"/>
    <w:rsid w:val="009F68D8"/>
    <w:rsid w:val="00D05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CDA2E"/>
  <w15:docId w15:val="{76573B5B-35E2-214F-A712-E35A0190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bidi w:val="true"/>
    </w:pPr>
  </w:style>
  <w:style w:type="paragraph" w:styleId="Heading1">
    <w:name w:val="heading 1"/>
    <w:basedOn w:val="Normal"/>
    <w:next w:val="Normal"/>
    <w:uiPriority w:val="9"/>
    <w:qFormat/>
    <w:pPr>
      <w:keepNext/>
      <w:keepLines/>
      <w:shd w:val="clear" w:color="auto" w:fill="FFFFFF"/>
      <w:spacing w:line="240" w:lineRule="auto"/>
      <w:outlineLvl w:val="0"/>
    </w:pPr>
    <w:rPr>
      <w:rFonts w:ascii="Twentieth Century" w:hAnsi="Twentieth Century" w:eastAsia="Twentieth Century" w:cs="Twentieth Century"/>
      <w:b/>
      <w:bCs/>
      <w:sz w:val="24"/>
      <w:szCs w:val="24"/>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pPr>
      <w:bidi w:val="true"/>
    </w:pPr>
  </w:style>
  <w:style w:type="table" w:styleId="TableNormal" w:default="1">
    <w:name w:val="Normal Table"/>
    <w:uiPriority w:val="99"/>
    <w:semiHidden/>
    <w:unhideWhenUsed/>
    <w:pPr>
      <w:bidi w:val="true"/>
    </w:pPr>
    <w:tblPr>
      <w:tblInd w:w="0" w:type="dxa"/>
      <w:tblCellMar>
        <w:top w:w="0" w:type="dxa"/>
        <w:left w:w="108" w:type="dxa"/>
        <w:bottom w:w="0" w:type="dxa"/>
        <w:right w:w="108" w:type="dxa"/>
      </w:tblCellMar>
    </w:tblPr>
  </w:style>
  <w:style w:type="numbering" w:styleId="NoList" w:default="1">
    <w:name w:val="No List"/>
    <w:uiPriority w:val="99"/>
    <w:semiHidden/>
    <w:unhideWhenUsed/>
    <w:pPr>
      <w:bidi w:val="true"/>
    </w:pPr>
  </w:style>
  <w:style w:type="table" w:styleId="TableNormal0" w:customStyle="1">
    <w:name w:val="TableNormal"/>
    <w:pPr>
      <w:bidi w:val="true"/>
    </w:pPr>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444C9"/>
    <w:pPr>
      <w:tabs>
        <w:tab w:val="center" w:pos="4680"/>
        <w:tab w:val="right" w:pos="9360"/>
      </w:tabs>
      <w:spacing w:line="240" w:lineRule="auto"/>
    </w:pPr>
  </w:style>
  <w:style w:type="character" w:styleId="HeaderChar" w:customStyle="1">
    <w:name w:val="Header Char"/>
    <w:basedOn w:val="DefaultParagraphFont"/>
    <w:link w:val="Header"/>
    <w:uiPriority w:val="99"/>
    <w:rsid w:val="003444C9"/>
  </w:style>
  <w:style w:type="paragraph" w:styleId="Footer">
    <w:name w:val="footer"/>
    <w:basedOn w:val="Normal"/>
    <w:link w:val="FooterChar"/>
    <w:uiPriority w:val="99"/>
    <w:unhideWhenUsed/>
    <w:rsid w:val="003444C9"/>
    <w:pPr>
      <w:tabs>
        <w:tab w:val="center" w:pos="4680"/>
        <w:tab w:val="right" w:pos="9360"/>
      </w:tabs>
      <w:spacing w:line="240" w:lineRule="auto"/>
    </w:pPr>
  </w:style>
  <w:style w:type="character" w:styleId="FooterChar" w:customStyle="1">
    <w:name w:val="Footer Char"/>
    <w:basedOn w:val="DefaultParagraphFont"/>
    <w:link w:val="Footer"/>
    <w:uiPriority w:val="99"/>
    <w:rsid w:val="00344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bd.int/doc/recommendations/sbi-07/sbi-07-rec-01-en.pdf" TargetMode="External"/><Relationship Id="rId18" Type="http://schemas.openxmlformats.org/officeDocument/2006/relationships/hyperlink" Target="https://iucn.org/resources/grey-literature/improving-outcome-based-effectiveness-assessments-protected-and-conserved" TargetMode="External"/><Relationship Id="rId26" Type="http://schemas.openxmlformats.org/officeDocument/2006/relationships/hyperlink" Target="https://www.cbd.int/doc/c/6f97/2c4f/c563b5e0b7eb92cb427f1634/cop-17-11-en.pdf" TargetMode="External"/><Relationship Id="rId21" Type="http://schemas.openxmlformats.org/officeDocument/2006/relationships/hyperlink" Target="https://www.cbd.int/doc/c/6f97/2c4f/c563b5e0b7eb92cb427f1634/cop-17-11-en.pdf"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cbd.int/doc/recommendations/sbi-07/sbi-07-rec-03-en.pdf" TargetMode="External"/><Relationship Id="rId17" Type="http://schemas.openxmlformats.org/officeDocument/2006/relationships/hyperlink" Target="https://www.cbd.int/doc/recommendations/sbi-07/sbi-07-rec-01-en.pdf" TargetMode="External"/><Relationship Id="rId25" Type="http://schemas.openxmlformats.org/officeDocument/2006/relationships/hyperlink" Target="https://www.cbd.int/doc/recommendations/sbstta-27/sbstta-27-rec-03-en.pdf" TargetMode="External"/><Relationship Id="rId33" Type="http://schemas.openxmlformats.org/officeDocument/2006/relationships/hyperlink" Target="http://wcs.org/cbd" TargetMode="External"/><Relationship Id="rId2" Type="http://schemas.openxmlformats.org/officeDocument/2006/relationships/styles" Target="styles.xml"/><Relationship Id="rId16" Type="http://schemas.openxmlformats.org/officeDocument/2006/relationships/hyperlink" Target="https://womenoceanguardians.org/" TargetMode="External"/><Relationship Id="rId20" Type="http://schemas.openxmlformats.org/officeDocument/2006/relationships/hyperlink" Target="https://www.cbd.int/doc/c/6f97/2c4f/c563b5e0b7eb92cb427f1634/cop-17-11-en.pdf" TargetMode="External"/><Relationship Id="rId29" Type="http://schemas.openxmlformats.org/officeDocument/2006/relationships/hyperlink" Target="https://s3.amazonaws.com/km.documents.attachments/33d9/402c/e0bb3caf043664a5f3c9688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recommendations/sbi-07/sbi-07-rec-02-en.pdf" TargetMode="External"/><Relationship Id="rId24" Type="http://schemas.openxmlformats.org/officeDocument/2006/relationships/hyperlink" Target="https://newsroom.wcs.org/News-Releases/articleType/ArticleView/articleId/26071/73-of-the-Worlds-Ocean-Protected-Areas-Are-Polluted-by-Sewage.aspx" TargetMode="External"/><Relationship Id="rId32" Type="http://schemas.openxmlformats.org/officeDocument/2006/relationships/hyperlink" Target="https://www.cbd.int/doc/c/8bcf/56e0/8f1260e34fb25479b9aed2c6/cop-17-07-en.pdf"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zenodo.org/records/17653674" TargetMode="External"/><Relationship Id="rId23" Type="http://schemas.openxmlformats.org/officeDocument/2006/relationships/hyperlink" Target="https://www.cbd.int/doc/recommendations/sbstta-27/sbstta-27-rec-06-en.pdf" TargetMode="External"/><Relationship Id="rId28" Type="http://schemas.openxmlformats.org/officeDocument/2006/relationships/hyperlink" Target="https://s3.amazonaws.com/km.documents.attachments/1137/7f23/e7da2c596e0c73d2029517a6" TargetMode="External"/><Relationship Id="rId36" Type="http://schemas.openxmlformats.org/officeDocument/2006/relationships/fontTable" Target="fontTable.xml"/><Relationship Id="rId10" Type="http://schemas.openxmlformats.org/officeDocument/2006/relationships/hyperlink" Target="https://www.cbd.int/doc/c/1184/2cd3/45b33416ff90ca3353c32b3e/sbi-07-15-en.pdf" TargetMode="External"/><Relationship Id="rId19" Type="http://schemas.openxmlformats.org/officeDocument/2006/relationships/hyperlink" Target="https://www.cbd.int/doc/recommendations/sbi-06/sbi-06-rec-06-en.pdf" TargetMode="External"/><Relationship Id="rId31" Type="http://schemas.openxmlformats.org/officeDocument/2006/relationships/hyperlink" Target="https://www.cbd.int/doc/recommendations/sbstta-27/sbstta-27-rec-10-en.pdf" TargetMode="External"/><Relationship Id="rId4" Type="http://schemas.openxmlformats.org/officeDocument/2006/relationships/webSettings" Target="webSettings.xml"/><Relationship Id="rId9" Type="http://schemas.openxmlformats.org/officeDocument/2006/relationships/hyperlink" Target="mailto:adegemmis@wcs.org" TargetMode="External"/><Relationship Id="rId14" Type="http://schemas.openxmlformats.org/officeDocument/2006/relationships/hyperlink" Target="https://conbio.onlinelibrary.wiley.com/doi/10.1111/csp2.70189" TargetMode="External"/><Relationship Id="rId22" Type="http://schemas.openxmlformats.org/officeDocument/2006/relationships/hyperlink" Target="https://www.cbd.int/doc/recommendations/sbstta-28/sbstta-28-rec-05-en.pdf" TargetMode="External"/><Relationship Id="rId27" Type="http://schemas.openxmlformats.org/officeDocument/2006/relationships/hyperlink" Target="https://s3.amazonaws.com/km.documents.attachments/13c9/9291/fb58393780165ad2bf34abff" TargetMode="External"/><Relationship Id="rId30" Type="http://schemas.openxmlformats.org/officeDocument/2006/relationships/hyperlink" Target="https://www.cbd.int/doc/recommendations/sbstta-28/sbstta-28-rec-04-en.pdf" TargetMode="External"/><Relationship Id="rId35" Type="http://schemas.openxmlformats.org/officeDocument/2006/relationships/header" Target="header2.xml"/><Relationship Id="rId8" Type="http://schemas.openxmlformats.org/officeDocument/2006/relationships/hyperlink" Target="http://www.wcs.org" TargetMode="Externa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3218</Words>
  <Characters>18346</Characters>
  <Application>Microsoft Office Word</Application>
  <DocSecurity>0</DocSecurity>
  <Lines>152</Lines>
  <Paragraphs>43</Paragraphs>
  <ScaleCrop>false</ScaleCrop>
  <Company/>
  <LinksUpToDate>false</LinksUpToDate>
  <CharactersWithSpaces>21521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lastModifiedBy>DeGemmis, Alfred</lastModifiedBy>
  <revision>3</revision>
  <dcterms:created xsi:type="dcterms:W3CDTF">2026-10-01T17:01:00.0000000Z</dcterms:created>
  <dcterms:modified xsi:type="dcterms:W3CDTF">2026-10-01T17:01:00.0000000Z</dcterms:modified>
  <keywords>, docId:730CB95106B2C9481A4186DA3EE24212</keywords>
</coreProperties>
</file>