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C0A0D" w:rsidRDefault="009F68D8" w14:paraId="3516FAC1" w14:textId="18F36CDC">
      <w:pPr>
        <w:shd w:val="clear" w:color="auto" w:fill="FFFFFF"/>
        <w:spacing w:line="240" w:lineRule="auto"/>
        <w:rPr>
          <w:rFonts w:ascii="Twentieth Century" w:hAnsi="Twentieth Century" w:eastAsia="Twentieth Century" w:cs="Twentieth Century"/>
          <w:sz w:val="32"/>
          <w:szCs w:val="32"/>
          <w:shd w:val="clear" w:color="auto" w:fill="C6C6C6"/>
        </w:rPr>
      </w:pPr>
      <w:r>
        <w:rPr>
          <w:noProof/>
        </w:rPr>
        <w:drawing>
          <wp:anchor distT="0" distB="0" distL="114300" distR="114300" simplePos="0" relativeHeight="251659264" behindDoc="0" locked="0" layoutInCell="1" hidden="0" allowOverlap="1" wp14:editId="4EA7450E" wp14:anchorId="4E76EB11">
            <wp:simplePos x="0" y="0"/>
            <wp:positionH relativeFrom="column">
              <wp:posOffset>3973286</wp:posOffset>
            </wp:positionH>
            <wp:positionV relativeFrom="paragraph">
              <wp:posOffset>-141514</wp:posOffset>
            </wp:positionV>
            <wp:extent cx="1815465" cy="6475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5465" cy="647510"/>
                    </a:xfrm>
                    <a:prstGeom prst="rect">
                      <a:avLst/>
                    </a:prstGeom>
                    <a:ln/>
                  </pic:spPr>
                </pic:pic>
              </a:graphicData>
            </a:graphic>
            <wp14:sizeRelV relativeFrom="margin">
              <wp14:pctHeight>0</wp14:pctHeight>
            </wp14:sizeRelV>
          </wp:anchor>
        </w:drawing>
      </w:r>
      <w:r w:rsidR="00000000">
        <w:rPr>
          <w:rFonts w:ascii="Twentieth Century" w:hAnsi="Twentieth Century" w:eastAsia="Twentieth Century" w:cs="Twentieth Century"/>
          <w:b/>
          <w:bCs/>
          <w:sz w:val="32"/>
          <w:szCs w:val="32"/>
        </w:rPr>
        <w:t xml:space="preserve">Recommandations de la WCS pour la 17e session de la Conférence des Parties à la CDB </w:t>
      </w:r>
    </w:p>
    <w:p w:rsidR="009C0A0D" w:rsidRDefault="009C0A0D" w14:paraId="4D9E9E9F" w14:textId="77777777">
      <w:pPr>
        <w:shd w:val="clear" w:color="auto" w:fill="FFFFFF"/>
        <w:spacing w:line="240" w:lineRule="auto"/>
        <w:rPr>
          <w:rFonts w:ascii="Twentieth Century" w:hAnsi="Twentieth Century" w:eastAsia="Twentieth Century" w:cs="Twentieth Century"/>
          <w:b/>
          <w:bCs/>
          <w:color w:val="B7B7B7"/>
          <w:sz w:val="2"/>
          <w:szCs w:val="2"/>
        </w:rPr>
      </w:pPr>
    </w:p>
    <w:p w:rsidR="009C0A0D" w:rsidRDefault="00000000" w14:paraId="593811CD" w14:textId="77777777">
      <w:pPr>
        <w:shd w:val="clear" w:color="auto" w:fill="FFFFFF"/>
        <w:spacing w:line="240" w:lineRule="auto"/>
        <w:rPr>
          <w:rFonts w:ascii="Twentieth Century" w:hAnsi="Twentieth Century" w:eastAsia="Twentieth Century" w:cs="Twentieth Century"/>
          <w:b/>
          <w:bCs/>
          <w:color w:val="B7B7B7"/>
          <w:sz w:val="26"/>
          <w:szCs w:val="26"/>
        </w:rPr>
      </w:pPr>
      <w:r>
        <w:rPr>
          <w:rFonts w:ascii="Twentieth Century" w:hAnsi="Twentieth Century" w:eastAsia="Twentieth Century" w:cs="Twentieth Century"/>
          <w:b/>
          <w:bCs/>
          <w:color w:val="B7B7B7"/>
          <w:sz w:val="26"/>
          <w:szCs w:val="26"/>
        </w:rPr>
        <w:t xml:space="preserve">Erevan, Arménie, du 19 au 30 octobre 2026</w:t>
      </w:r>
    </w:p>
    <w:p w:rsidR="009C0A0D" w:rsidRDefault="009C0A0D" w14:paraId="570FCFB8"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14A0B56A"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745C68BD"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182B1492" w14:textId="77777777">
      <w:pPr>
        <w:shd w:val="clear" w:color="auto" w:fill="FFFFFF"/>
        <w:spacing w:line="240" w:lineRule="auto"/>
        <w:rPr>
          <w:rFonts w:ascii="Twentieth Century" w:hAnsi="Twentieth Century" w:eastAsia="Twentieth Century" w:cs="Twentieth Century"/>
          <w:i/>
          <w:iCs/>
          <w:sz w:val="24"/>
          <w:szCs w:val="24"/>
        </w:rPr>
      </w:pPr>
      <w:hyperlink r:id="rId8">
        <w:r>
          <w:rPr>
            <w:rFonts w:ascii="Twentieth Century" w:hAnsi="Twentieth Century" w:eastAsia="Twentieth Century" w:cs="Twentieth Century"/>
            <w:i/>
            <w:iCs/>
            <w:color w:val="1155CC"/>
            <w:sz w:val="24"/>
            <w:szCs w:val="24"/>
            <w:u w:val="single"/>
          </w:rPr>
          <w:t xml:space="preserve">La WCS</w:t>
        </w:r>
      </w:hyperlink>
      <w:r>
        <w:rPr>
          <w:rFonts w:ascii="Twentieth Century" w:hAnsi="Twentieth Century" w:eastAsia="Twentieth Century" w:cs="Twentieth Century"/>
          <w:i/>
          <w:iCs/>
          <w:sz w:val="24"/>
          <w:szCs w:val="24"/>
        </w:rPr>
        <w:t xml:space="preserve"> publiera d’autres documents de synthèse mettant en avant notre participation à la COP17 de la CDB. Le présent document porte spécifiquement sur le texte qui fera l’objet de négociations entre les Parties dans le cadre de l’ordre du jour officiel. </w:t>
      </w:r>
      <w:r>
        <w:rPr>
          <w:rFonts w:ascii="Twentieth Century" w:hAnsi="Twentieth Century" w:eastAsia="Twentieth Century" w:cs="Twentieth Century"/>
          <w:i/>
          <w:iCs/>
          <w:sz w:val="24"/>
          <w:szCs w:val="24"/>
        </w:rPr>
        <w:t xml:space="preserve">Veuillez contacter Alfred DeGemmis (</w:t>
      </w:r>
      <w:hyperlink r:id="rId9">
        <w:r>
          <w:rPr>
            <w:rFonts w:ascii="Twentieth Century" w:hAnsi="Twentieth Century" w:eastAsia="Twentieth Century" w:cs="Twentieth Century"/>
            <w:i/>
            <w:iCs/>
            <w:color w:val="1155CC"/>
            <w:sz w:val="24"/>
            <w:szCs w:val="24"/>
            <w:u w:val="single"/>
          </w:rPr>
          <w:t>adegemmis@wcs.org</w:t>
        </w:r>
      </w:hyperlink>
      <w:r>
        <w:rPr>
          <w:rFonts w:ascii="Twentieth Century" w:hAnsi="Twentieth Century" w:eastAsia="Twentieth Century" w:cs="Twentieth Century"/>
          <w:i/>
          <w:iCs/>
          <w:sz w:val="24"/>
          <w:szCs w:val="24"/>
        </w:rPr>
        <w:t xml:space="preserve"> ) concernant ces recommandations. </w:t>
      </w:r>
    </w:p>
    <w:p w:rsidR="009C0A0D" w:rsidRDefault="009C0A0D" w14:paraId="47C0ECE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4F4CEE7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Nos commentaires ci-dessous s’inscrivent dans le droit fil des priorités générales exposées dans notre résumé d’une page. </w:t>
      </w:r>
    </w:p>
    <w:p w:rsidR="009C0A0D" w:rsidRDefault="00000000" w14:paraId="556482C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BF9CD5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94702D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b/>
          <w:bCs/>
          <w:sz w:val="24"/>
          <w:szCs w:val="24"/>
        </w:rPr>
        <w:t xml:space="preserve">Liens rapides, basés sur l’ordre du jour de la CoP17 :  </w:t>
      </w:r>
    </w:p>
    <w:p w:rsidR="009C0A0D" w:rsidRDefault="00000000" w14:paraId="04446DC3"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50339726" w14:textId="77777777">
      <w:pPr>
        <w:shd w:val="clear" w:color="auto" w:fill="FFFFFF"/>
        <w:spacing w:line="240" w:lineRule="auto"/>
        <w:ind w:start="180"/>
        <w:rPr>
          <w:rFonts w:ascii="Twentieth Century" w:hAnsi="Twentieth Century" w:eastAsia="Twentieth Century" w:cs="Twentieth Century"/>
          <w:color w:val="0070C0"/>
          <w:sz w:val="24"/>
          <w:szCs w:val="24"/>
        </w:rPr>
      </w:pPr>
      <w:r>
        <w:rPr>
          <w:rFonts w:ascii="Twentieth Century" w:hAnsi="Twentieth Century" w:eastAsia="Twentieth Century" w:cs="Twentieth Century"/>
          <w:color w:val="0070C0"/>
          <w:sz w:val="24"/>
          <w:szCs w:val="24"/>
        </w:rPr>
        <w:t xml:space="preserve">7 : </w:t>
      </w:r>
      <w:r>
        <w:rPr>
          <w:rFonts w:ascii="Twentieth Century" w:hAnsi="Twentieth Century" w:eastAsia="Twentieth Century" w:cs="Twentieth Century"/>
          <w:color w:val="0070C0"/>
          <w:sz w:val="24"/>
          <w:szCs w:val="24"/>
        </w:rPr>
        <w:tab/>
      </w:r>
      <w:hyperlink w:anchor="_q7ojxhr9e27g">
        <w:r>
          <w:rPr>
            <w:rFonts w:ascii="Twentieth Century" w:hAnsi="Twentieth Century" w:eastAsia="Twentieth Century" w:cs="Twentieth Century"/>
            <w:color w:val="0070C0"/>
            <w:sz w:val="24"/>
            <w:szCs w:val="24"/>
          </w:rPr>
          <w:t xml:space="preserve">Administration de la Convention sur la diversité biologique</w:t>
        </w:r>
      </w:hyperlink>
    </w:p>
    <w:p w:rsidR="009C0A0D" w:rsidRDefault="00000000" w14:paraId="663A675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aazxyk9a8tva">
        <w:r>
          <w:rPr>
            <w:rFonts w:ascii="Twentieth Century" w:hAnsi="Twentieth Century" w:eastAsia="Twentieth Century" w:cs="Twentieth Century"/>
            <w:color w:val="0070C0"/>
            <w:sz w:val="24"/>
            <w:szCs w:val="24"/>
          </w:rPr>
          <w:t xml:space="preserve">8a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Mobilisation des ressources </w:t>
        </w:r>
      </w:hyperlink>
    </w:p>
    <w:p w:rsidR="009C0A0D" w:rsidRDefault="00000000" w14:paraId="699A7872"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aazxyk9a8tva">
        <w:r>
          <w:rPr>
            <w:rFonts w:ascii="Twentieth Century" w:hAnsi="Twentieth Century" w:eastAsia="Twentieth Century" w:cs="Twentieth Century"/>
            <w:color w:val="0070C0"/>
            <w:sz w:val="24"/>
            <w:szCs w:val="24"/>
          </w:rPr>
          <w:t xml:space="preserve">8a :</w:t>
        </w:r>
        <w:r>
          <w:rPr>
            <w:rFonts w:ascii="Twentieth Century" w:hAnsi="Twentieth Century" w:eastAsia="Twentieth Century" w:cs="Twentieth Century"/>
            <w:color w:val="0070C0"/>
            <w:sz w:val="24"/>
            <w:szCs w:val="24"/>
          </w:rPr>
          <w:tab/>
        </w:r>
      </w:hyperlink>
      <w:hyperlink w:anchor="_b9ymn1mvtlvf">
        <w:r>
          <w:rPr>
            <w:rFonts w:ascii="Twentieth Century" w:hAnsi="Twentieth Century" w:eastAsia="Twentieth Century" w:cs="Twentieth Century"/>
            <w:color w:val="0070C0"/>
            <w:sz w:val="24"/>
            <w:szCs w:val="24"/>
          </w:rPr>
          <w:t xml:space="preserve">Mécanisme financier</w:t>
        </w:r>
      </w:hyperlink>
    </w:p>
    <w:p w:rsidR="009C0A0D" w:rsidRDefault="00000000" w14:paraId="660BAE70"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bd98lc52bwrf">
        <w:r>
          <w:rPr>
            <w:rFonts w:ascii="Twentieth Century" w:hAnsi="Twentieth Century" w:eastAsia="Twentieth Century" w:cs="Twentieth Century"/>
            <w:color w:val="0070C0"/>
            <w:sz w:val="24"/>
            <w:szCs w:val="24"/>
          </w:rPr>
          <w:t xml:space="preserve">9a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Examen global des progrès collectifs réalisés dans la mise en œuvre du KM-GBF</w:t>
        </w:r>
      </w:hyperlink>
    </w:p>
    <w:p w:rsidR="009C0A0D" w:rsidRDefault="00000000" w14:paraId="692FF6A5"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i9rlyfsjwv0">
        <w:r>
          <w:rPr>
            <w:rFonts w:ascii="Twentieth Century" w:hAnsi="Twentieth Century" w:eastAsia="Twentieth Century" w:cs="Twentieth Century"/>
            <w:color w:val="0070C0"/>
            <w:sz w:val="24"/>
            <w:szCs w:val="24"/>
          </w:rPr>
          <w:t xml:space="preserve">9b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Cadre de suivi du KM-GBF</w:t>
        </w:r>
      </w:hyperlink>
      <w:hyperlink w:anchor="_fi9rlyfsjwv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01610B9"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8e8bffr3p28l">
        <w:r>
          <w:rPr>
            <w:rFonts w:ascii="Twentieth Century" w:hAnsi="Twentieth Century" w:eastAsia="Twentieth Century" w:cs="Twentieth Century"/>
            <w:color w:val="0070C0"/>
            <w:sz w:val="24"/>
            <w:szCs w:val="24"/>
          </w:rPr>
          <w:t xml:space="preserve">13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Coopération avec les organisations internationales et d’autres conventions</w:t>
        </w:r>
      </w:hyperlink>
      <w:hyperlink w:anchor="_8e8bffr3p28l">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98C81EB"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bvf9ngcc6ed0">
        <w:r>
          <w:rPr>
            <w:rFonts w:ascii="Twentieth Century" w:hAnsi="Twentieth Century" w:eastAsia="Twentieth Century" w:cs="Twentieth Century"/>
            <w:color w:val="0070C0"/>
            <w:sz w:val="24"/>
            <w:szCs w:val="24"/>
          </w:rPr>
          <w:t xml:space="preserve">17a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Examen stratégique et analyse des </w:t>
        </w:r>
        <w:r>
          <w:rPr>
            <w:rFonts w:ascii="Twentieth Century" w:hAnsi="Twentieth Century" w:eastAsia="Twentieth Century" w:cs="Twentieth Century"/>
            <w:color w:val="0070C0"/>
            <w:sz w:val="24"/>
            <w:szCs w:val="24"/>
          </w:rPr>
          <w:t xml:space="preserve">programmes </w:t>
        </w:r>
        <w:r>
          <w:rPr>
            <w:rFonts w:ascii="Twentieth Century" w:hAnsi="Twentieth Century" w:eastAsia="Twentieth Century" w:cs="Twentieth Century"/>
            <w:color w:val="0070C0"/>
            <w:sz w:val="24"/>
            <w:szCs w:val="24"/>
          </w:rPr>
          <w:t xml:space="preserve">de travail au titre de la CDB</w:t>
        </w:r>
      </w:hyperlink>
      <w:hyperlink w:anchor="_bvf9ngcc6ed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3E60DFD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55d2dkya2trc">
        <w:r>
          <w:rPr>
            <w:rFonts w:ascii="Twentieth Century" w:hAnsi="Twentieth Century" w:eastAsia="Twentieth Century" w:cs="Twentieth Century"/>
            <w:color w:val="0070C0"/>
            <w:sz w:val="24"/>
            <w:szCs w:val="24"/>
          </w:rPr>
          <w:t xml:space="preserve">17c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Examen stratégique et mise à jour du </w:t>
        </w:r>
        <w:r>
          <w:rPr>
            <w:rFonts w:ascii="Twentieth Century" w:hAnsi="Twentieth Century" w:eastAsia="Twentieth Century" w:cs="Twentieth Century"/>
            <w:color w:val="0070C0"/>
            <w:sz w:val="24"/>
            <w:szCs w:val="24"/>
          </w:rPr>
          <w:t xml:space="preserve">programme </w:t>
        </w:r>
        <w:r>
          <w:rPr>
            <w:rFonts w:ascii="Twentieth Century" w:hAnsi="Twentieth Century" w:eastAsia="Twentieth Century" w:cs="Twentieth Century"/>
            <w:color w:val="0070C0"/>
            <w:sz w:val="24"/>
            <w:szCs w:val="24"/>
          </w:rPr>
          <w:t xml:space="preserve">de travail sur les aires protégées</w:t>
        </w:r>
      </w:hyperlink>
      <w:hyperlink w:anchor="_55d2dkya2tr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577781F"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qnycii1cmkc">
        <w:r>
          <w:rPr>
            <w:rFonts w:ascii="Twentieth Century" w:hAnsi="Twentieth Century" w:eastAsia="Twentieth Century" w:cs="Twentieth Century"/>
            <w:color w:val="0070C0"/>
            <w:sz w:val="24"/>
            <w:szCs w:val="24"/>
          </w:rPr>
          <w:t xml:space="preserve">17d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Domaines dans lesquels des travaux supplémentaires pourraient être menés dans le cadre du Cadre</w:t>
        </w:r>
      </w:hyperlink>
      <w:hyperlink w:anchor="_fqnycii1cmk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348084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grh24veb2skd">
        <w:r>
          <w:rPr>
            <w:rFonts w:ascii="Twentieth Century" w:hAnsi="Twentieth Century" w:eastAsia="Twentieth Century" w:cs="Twentieth Century"/>
            <w:color w:val="0070C0"/>
            <w:sz w:val="24"/>
            <w:szCs w:val="24"/>
          </w:rPr>
          <w:t xml:space="preserve">18a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Biodiversité et changement climatique</w:t>
        </w:r>
      </w:hyperlink>
      <w:hyperlink w:anchor="_grh24veb2skd">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D71EBBA"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k6m2qky3qvb7">
        <w:r>
          <w:rPr>
            <w:rFonts w:ascii="Twentieth Century" w:hAnsi="Twentieth Century" w:eastAsia="Twentieth Century" w:cs="Twentieth Century"/>
            <w:color w:val="0070C0"/>
            <w:sz w:val="24"/>
            <w:szCs w:val="24"/>
          </w:rPr>
          <w:t xml:space="preserve">18b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Gestion durable de la faune sauvage</w:t>
        </w:r>
      </w:hyperlink>
      <w:hyperlink w:anchor="_k6m2qky3qvb7">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066CFBF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36f59doifjkz">
        <w:r>
          <w:rPr>
            <w:rFonts w:ascii="Twentieth Century" w:hAnsi="Twentieth Century" w:eastAsia="Twentieth Century" w:cs="Twentieth Century"/>
            <w:color w:val="0070C0"/>
            <w:sz w:val="24"/>
            <w:szCs w:val="24"/>
          </w:rPr>
          <w:t xml:space="preserve">18c :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Biodiversité marine et côtière et biodiversité insulaire</w:t>
        </w:r>
      </w:hyperlink>
      <w:hyperlink w:anchor="_36f59doifjkz">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E09F6F6" w14:textId="77777777">
      <w:pPr>
        <w:shd w:val="clear" w:color="auto" w:fill="FFFFFF"/>
        <w:spacing w:line="240" w:lineRule="auto"/>
        <w:ind w:start="180"/>
        <w:rPr>
          <w:rFonts w:ascii="Twentieth Century" w:hAnsi="Twentieth Century" w:eastAsia="Twentieth Century" w:cs="Twentieth Century"/>
          <w:color w:val="0070C0"/>
          <w:sz w:val="23"/>
          <w:szCs w:val="23"/>
          <w:shd w:val="clear" w:color="auto" w:fill="C6C6C6"/>
        </w:rPr>
      </w:pPr>
      <w:hyperlink w:anchor="_wgymsuqvv2tw">
        <w:r>
          <w:rPr>
            <w:rFonts w:ascii="Twentieth Century" w:hAnsi="Twentieth Century" w:eastAsia="Twentieth Century" w:cs="Twentieth Century"/>
            <w:color w:val="0070C0"/>
            <w:sz w:val="24"/>
            <w:szCs w:val="24"/>
          </w:rPr>
          <w:t xml:space="preserve">18f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Biodiversité et santé </w:t>
        </w:r>
      </w:hyperlink>
      <w:hyperlink w:anchor="_wgymsuqvv2tw">
        <w:r>
          <w:rPr>
            <w:rFonts w:ascii="Twentieth Century" w:hAnsi="Twentieth Century" w:eastAsia="Twentieth Century" w:cs="Twentieth Century"/>
            <w:color w:val="0070C0"/>
            <w:sz w:val="23"/>
            <w:szCs w:val="23"/>
            <w:shd w:val="clear" w:color="auto" w:fill="C6C6C6"/>
          </w:rPr>
          <w:t xml:space="preserve"> </w:t>
        </w:r>
      </w:hyperlink>
    </w:p>
    <w:p w:rsidR="009C0A0D" w:rsidRDefault="00000000" w14:paraId="7F540DDC"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shd w:val="clear" w:color="auto" w:fill="C6C6C6"/>
        </w:rPr>
        <w:t xml:space="preserve"> </w:t>
      </w:r>
    </w:p>
    <w:p w:rsidR="009C0A0D" w:rsidRDefault="00000000" w14:paraId="56A4B099"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rPr>
        <w:t xml:space="preserve">--------- </w:t>
      </w:r>
    </w:p>
    <w:p w:rsidR="009C0A0D" w:rsidRDefault="00000000" w14:paraId="0717CB3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9C0A0D" w14:paraId="36DB59C4"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80F7FCF" w14:textId="77777777">
      <w:pPr>
        <w:pStyle w:val="Heading1"/>
      </w:pPr>
      <w:bookmarkStart w:name="_q7ojxhr9e27g" w:colFirst="0" w:colLast="0" w:id="0"/>
      <w:bookmarkEnd w:id="0"/>
      <w:r>
        <w:t xml:space="preserve">Point 7 de l’ordre du jour : « Administration de la Convention sur la diversité biologique… »</w:t>
      </w:r>
    </w:p>
    <w:p w:rsidR="009C0A0D" w:rsidRDefault="00000000" w14:paraId="25A6E63E"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Projet de décision actuel : </w:t>
      </w:r>
      <w:hyperlink r:id="rId10">
        <w:r>
          <w:rPr>
            <w:rFonts w:ascii="Twentieth Century" w:hAnsi="Twentieth Century" w:eastAsia="Twentieth Century" w:cs="Twentieth Century"/>
            <w:i/>
            <w:iCs/>
            <w:color w:val="1155CC"/>
            <w:sz w:val="24"/>
            <w:szCs w:val="24"/>
            <w:u w:val="single"/>
          </w:rPr>
          <w:t xml:space="preserve">CBD/COP/17/4</w:t>
        </w:r>
      </w:hyperlink>
    </w:p>
    <w:p w:rsidR="009C0A0D" w:rsidRDefault="009C0A0D" w14:paraId="0EDB9B4A"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9E1134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Concernant le projet de décision de la COP17, une brève remarque :</w:t>
      </w:r>
    </w:p>
    <w:p w:rsidR="009C0A0D" w:rsidRDefault="009C0A0D" w14:paraId="6AADDA91"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2AA6E0F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sz w:val="24"/>
          <w:szCs w:val="24"/>
        </w:rPr>
        <w:t xml:space="preserve">Nous recommandons que les Parties s’accordent sur un calendrier prévoyant trois réunions intersessions, une pour chaque organe subsidiaire, afin de réduire les coûts de transaction pour le Secrétariat, les Parties et les observateurs.</w:t>
      </w:r>
    </w:p>
    <w:p w:rsidR="009C0A0D" w:rsidRDefault="009C0A0D" w14:paraId="5F1139F9"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E9E1EB" w14:textId="77777777">
      <w:pPr>
        <w:pStyle w:val="Heading1"/>
        <w:rPr>
          <w:shd w:val="clear" w:color="auto" w:fill="C6C6C6"/>
        </w:rPr>
      </w:pPr>
      <w:bookmarkStart w:name="_aazxyk9a8tva" w:colFirst="0" w:colLast="0" w:id="1"/>
      <w:bookmarkEnd w:id="1"/>
      <w:r>
        <w:t xml:space="preserve">Point 8a de l’ordre du jour : « Mobilisation des ressources » </w:t>
      </w:r>
    </w:p>
    <w:p w:rsidR="009C0A0D" w:rsidRDefault="00000000" w14:paraId="518CD3C1"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Projet de décision actuel : </w:t>
      </w:r>
      <w:hyperlink r:id="rId11">
        <w:r>
          <w:rPr>
            <w:rFonts w:ascii="Twentieth Century" w:hAnsi="Twentieth Century" w:eastAsia="Twentieth Century" w:cs="Twentieth Century"/>
            <w:i/>
            <w:iCs/>
            <w:color w:val="1155CC"/>
            <w:sz w:val="24"/>
            <w:szCs w:val="24"/>
            <w:u w:val="single"/>
          </w:rPr>
          <w:t xml:space="preserve">SBI/REC/7/2</w:t>
        </w:r>
      </w:hyperlink>
    </w:p>
    <w:p w:rsidR="009C0A0D" w:rsidRDefault="009C0A0D" w14:paraId="22A475B9"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1A44EF2F"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Concernant le projet de décision de la CoP17, nous recommandons aux Parties : </w:t>
      </w:r>
    </w:p>
    <w:p w:rsidR="009C0A0D" w:rsidRDefault="009C0A0D" w14:paraId="6198A1A8" w14:textId="77777777">
      <w:pPr>
        <w:spacing w:line="240" w:lineRule="auto"/>
        <w:rPr>
          <w:rFonts w:ascii="Twentieth Century" w:hAnsi="Twentieth Century" w:eastAsia="Twentieth Century" w:cs="Twentieth Century"/>
          <w:sz w:val="24"/>
          <w:szCs w:val="24"/>
        </w:rPr>
      </w:pPr>
    </w:p>
    <w:p w:rsidR="009C0A0D" w:rsidRDefault="00000000" w14:paraId="377EA41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[en supprimant les crochets] le texte du paragraphe 2 du préambule qui reconnaît une augmentation historique à long terme des flux liés à la biodiversité, tout en admettant que les financements publics internationaux restent insuffisants à l’heure actuelle. </w:t>
      </w:r>
      <w:r>
        <w:rPr>
          <w:rFonts w:ascii="Twentieth Century" w:hAnsi="Twentieth Century" w:eastAsia="Twentieth Century" w:cs="Twentieth Century"/>
          <w:sz w:val="24"/>
          <w:szCs w:val="24"/>
        </w:rPr>
        <w:t xml:space="preserve">Les niveaux actuels de financement restent nettement inférieurs à ce qui est nécessaire pour atteindre les objectifs et cibles du </w:t>
      </w:r>
      <w:r>
        <w:rPr>
          <w:rFonts w:ascii="Twentieth Century" w:hAnsi="Twentieth Century" w:eastAsia="Twentieth Century" w:cs="Twentieth Century"/>
          <w:sz w:val="24"/>
          <w:szCs w:val="24"/>
        </w:rPr>
        <w:t xml:space="preserve">KM-GBF</w:t>
      </w:r>
      <w:r>
        <w:rPr>
          <w:rFonts w:ascii="Twentieth Century" w:hAnsi="Twentieth Century" w:eastAsia="Twentieth Century" w:cs="Twentieth Century"/>
          <w:sz w:val="24"/>
          <w:szCs w:val="24"/>
        </w:rPr>
        <w:t xml:space="preserve">, et ce déficit est particulièrement criant pour les pays les moins avancés et les petits États insulaires en développement qui abritent une biodiversité d’importance mondiale. Des flux publics soutenus et accrus ne devraient pas empêcher la CoP d’adopter d’autres appels invitant tous les pays à corriger leurs incitations politiques et financières (voir ci-dessous), à mobiliser de nouveaux financements nationaux pour dépasser le stade du cycle des projets, et à mobiliser des financements nouveaux et supplémentaires du secteur privé par le biais de programmes fondés sur des données probantes. </w:t>
      </w:r>
    </w:p>
    <w:p w:rsidR="009C0A0D" w:rsidRDefault="00000000" w14:paraId="1069DC14"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563C1"/>
          <w:sz w:val="24"/>
          <w:szCs w:val="24"/>
        </w:rPr>
        <w:t xml:space="preserve">Ajouter </w:t>
      </w:r>
      <w:r>
        <w:rPr>
          <w:rFonts w:ascii="Twentieth Century" w:hAnsi="Twentieth Century" w:eastAsia="Twentieth Century" w:cs="Twentieth Century"/>
          <w:color w:val="0563C1"/>
          <w:sz w:val="24"/>
          <w:szCs w:val="24"/>
        </w:rPr>
        <w:t xml:space="preserve">dans cette décision un texte relatif à l’objectif 18, qui appellerait à réformer, réorienter et éliminer les incitations néfastes, y compris les subventions nuisibles à l’environnement.</w:t>
      </w:r>
      <w:r>
        <w:rPr>
          <w:rFonts w:ascii="Twentieth Century" w:hAnsi="Twentieth Century" w:eastAsia="Twentieth Century" w:cs="Twentieth Century"/>
          <w:sz w:val="24"/>
          <w:szCs w:val="24"/>
        </w:rPr>
        <w:t xml:space="preserve"> Les dépenses publiques qui favorisent la perte de biodiversité dépassent souvent les investissements consacrés à la conservation et à l’utilisation durable de la biodiversité. La réforme, la réorientation et l’élimination des incitations néfastes, y compris les subventions nuisibles à l’environnement, peuvent générer des avantages substantiels en réduisant les pressions sur la nature tout en libérant simultanément des ressources publiques pour des investissements favorables à la biodiversité. Ce point doit être souligné dans le cadre d’un ensemble complet de mesures sur la mobilisation des ressources. </w:t>
      </w:r>
    </w:p>
    <w:p w:rsidR="009C0A0D" w:rsidRDefault="00000000" w14:paraId="482C96F3" w14:textId="77777777">
      <w:pPr>
        <w:pStyle w:val="Heading1"/>
        <w:rPr>
          <w:shd w:val="clear" w:color="auto" w:fill="C6C6C6"/>
        </w:rPr>
      </w:pPr>
      <w:bookmarkStart w:name="_b9ymn1mvtlvf" w:colFirst="0" w:colLast="0" w:id="2"/>
      <w:bookmarkEnd w:id="2"/>
      <w:r>
        <w:br/>
      </w:r>
      <w:r>
        <w:t xml:space="preserve">Point 8b de l’ordre du jour : « Mécanisme financier »</w:t>
      </w:r>
      <w:r>
        <w:rPr>
          <w:shd w:val="clear" w:color="auto" w:fill="C6C6C6"/>
        </w:rPr>
        <w:t xml:space="preserve"> </w:t>
      </w:r>
    </w:p>
    <w:p w:rsidR="009C0A0D" w:rsidRDefault="00000000" w14:paraId="71A7BE24"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Projet de décision actuel : </w:t>
      </w:r>
      <w:hyperlink r:id="rId12">
        <w:r>
          <w:rPr>
            <w:rFonts w:ascii="Twentieth Century" w:hAnsi="Twentieth Century" w:eastAsia="Twentieth Century" w:cs="Twentieth Century"/>
            <w:i/>
            <w:iCs/>
            <w:color w:val="1155CC"/>
            <w:sz w:val="24"/>
            <w:szCs w:val="24"/>
            <w:u w:val="single"/>
          </w:rPr>
          <w:t xml:space="preserve">SBI/REC/7/3</w:t>
        </w:r>
      </w:hyperlink>
    </w:p>
    <w:p w:rsidR="009C0A0D" w:rsidRDefault="009C0A0D" w14:paraId="4B36716D"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02AA304D"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000000" w14:paraId="560BBB4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1B1DAE8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[suppriment les crochets autour de] le texte du paragraphe opérationnel 11 : « tout en facilitant la participation pleine et effective des peuples autochtones et des communautés locales, des femmes et des jeunes ». </w:t>
      </w:r>
      <w:r>
        <w:rPr>
          <w:rFonts w:ascii="Twentieth Century" w:hAnsi="Twentieth Century" w:eastAsia="Twentieth Century" w:cs="Twentieth Century"/>
          <w:color w:val="242424"/>
          <w:sz w:val="24"/>
          <w:szCs w:val="24"/>
        </w:rPr>
        <w:t xml:space="preserve">Le paragraphe 4(l) de la décision 16/34 énonce la mesure habilitante consistant à « garantir une représentation et une participation pleines, équitables, inclusives, effectives et tenant compte des questions de genre des peuples autochtones et des communautés locales, des femmes et des jeunes dans la prise de décision ». </w:t>
      </w:r>
    </w:p>
    <w:p w:rsidR="009C0A0D" w:rsidRDefault="00000000" w14:paraId="5CBD3FF1" w14:textId="77777777">
      <w:pPr>
        <w:numPr>
          <w:ilvl w:val="0"/>
          <w:numId w:val="2"/>
        </w:numPr>
        <w:spacing w:line="240" w:lineRule="auto"/>
        <w:rPr>
          <w:rFonts w:ascii="Twentieth Century" w:hAnsi="Twentieth Century" w:eastAsia="Twentieth Century" w:cs="Twentieth Century"/>
          <w:color w:val="242424"/>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[supprimer les crochets autour de] le texte du paragraphe 12(f) du préambule concernant les modalités d’accès direct spécifiques. </w:t>
      </w:r>
      <w:r>
        <w:rPr>
          <w:rFonts w:ascii="Twentieth Century" w:hAnsi="Twentieth Century" w:eastAsia="Twentieth Century" w:cs="Twentieth Century"/>
          <w:color w:val="242424"/>
          <w:sz w:val="24"/>
          <w:szCs w:val="24"/>
        </w:rPr>
        <w:t xml:space="preserve">Outre les organisations intermédiaires qui acheminent les fonds vers les communautés, il est important que le FEM facilite la mise en place de procédures simplifiées et soutienne directement les peuples autochtones et les communautés locales. Il existe un écosystème en pleine expansion de fonds dirigés par les autochtones et de fonds territoriaux qui ont ouvert de nouvelles options stratégiques aux bailleurs de fonds et offrent aux communautés des voies de financement conçues et gérées par leurs propres mouvements ; pourtant, les financements alloués directement à ces organisations et aux organisations territoriales restent encore très modestes. </w:t>
      </w:r>
    </w:p>
    <w:p w:rsidR="009C0A0D" w:rsidRDefault="009C0A0D" w14:paraId="634AE4A7" w14:textId="77777777">
      <w:pPr>
        <w:spacing w:line="240" w:lineRule="auto"/>
        <w:ind w:start="720"/>
        <w:rPr>
          <w:rFonts w:ascii="Twentieth Century" w:hAnsi="Twentieth Century" w:eastAsia="Twentieth Century" w:cs="Twentieth Century"/>
          <w:color w:val="242424"/>
          <w:sz w:val="24"/>
          <w:szCs w:val="24"/>
        </w:rPr>
      </w:pPr>
    </w:p>
    <w:p w:rsidR="009C0A0D" w:rsidRDefault="00000000" w14:paraId="4B32CE48" w14:textId="77777777">
      <w:pPr>
        <w:pStyle w:val="Heading1"/>
        <w:rPr>
          <w:shd w:val="clear" w:color="auto" w:fill="C6C6C6"/>
        </w:rPr>
      </w:pPr>
      <w:bookmarkStart w:name="_bd98lc52bwrf" w:colFirst="0" w:colLast="0" w:id="3"/>
      <w:bookmarkEnd w:id="3"/>
      <w:r>
        <w:t xml:space="preserve">Point 9a de l’ordre du jour : « Planification, suivi, rapports et examen : examen global des progrès collectifs réalisés dans la mise en œuvre du Cadre mondial de Kunming-Montréal pour la biodiversité » </w:t>
      </w:r>
    </w:p>
    <w:p w:rsidR="009C0A0D" w:rsidRDefault="00000000" w14:paraId="77208468"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Projet de décision actuel : </w:t>
      </w:r>
      <w:hyperlink r:id="rId13">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[partie A]</w:t>
      </w:r>
    </w:p>
    <w:p w:rsidR="009C0A0D" w:rsidRDefault="009C0A0D" w14:paraId="35848B5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38E217F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54BE41A3" w14:textId="77777777">
      <w:pPr>
        <w:spacing w:line="240" w:lineRule="auto"/>
        <w:rPr>
          <w:rFonts w:ascii="Twentieth Century" w:hAnsi="Twentieth Century" w:eastAsia="Twentieth Century" w:cs="Twentieth Century"/>
          <w:sz w:val="24"/>
          <w:szCs w:val="24"/>
        </w:rPr>
      </w:pPr>
    </w:p>
    <w:p w:rsidR="009C0A0D" w:rsidRDefault="00000000" w14:paraId="21E8DB1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[en supprimant les crochets] le texte du paragraphe OP22 (original) encourageant ou invitant les Parties à renforcer la portée et la couverture des engagements nationaux afin de combler spécifiquement les lacunes clés. </w:t>
      </w:r>
      <w:r>
        <w:rPr>
          <w:rFonts w:ascii="Twentieth Century" w:hAnsi="Twentieth Century" w:eastAsia="Twentieth Century" w:cs="Twentieth Century"/>
          <w:sz w:val="24"/>
          <w:szCs w:val="24"/>
        </w:rPr>
        <w:t xml:space="preserve">Lorsque l’examen global a mis en évidence des lacunes majeures dans la transposition de concepts clés des cibles mondiales – tels que la prévention de la propagation des agents pathogènes au titre de la cible 5 – en cibles nationales, ces informations peuvent être utiles aux Parties pour fournir des mises à jour facultatives/volontaires de leurs cibles nationales. Nous saluons la référence – actuellement entre crochets – à la nécessité de combler les lacunes existantes dans la mise en œuvre du cadre mondial pour la gestion des connaissances (KM-GBF) dans les écosystèmes marins, mais nous souhaiterions trouver un équilibre avec la possibilité de combler d’autres lacunes identifiées dans l’examen mondial mais non incluses dans la liste restreinte des cibles. </w:t>
      </w:r>
    </w:p>
    <w:p w:rsidR="009C0A0D" w:rsidRDefault="00000000" w14:paraId="7D28CE4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[retirer les crochets autour de] </w:t>
      </w:r>
      <w:r>
        <w:rPr>
          <w:rFonts w:ascii="Twentieth Century" w:hAnsi="Twentieth Century" w:eastAsia="Twentieth Century" w:cs="Twentieth Century"/>
          <w:color w:val="00B050"/>
          <w:sz w:val="24"/>
          <w:szCs w:val="24"/>
        </w:rPr>
        <w:t xml:space="preserve">le texte de l’OP39 encourageant les Parties à élaborer des cartes nationales des écosystèmes. </w:t>
      </w:r>
      <w:r>
        <w:rPr>
          <w:rFonts w:ascii="Twentieth Century" w:hAnsi="Twentieth Century" w:eastAsia="Twentieth Century" w:cs="Twentieth Century"/>
          <w:sz w:val="24"/>
          <w:szCs w:val="24"/>
        </w:rPr>
        <w:t xml:space="preserve">Les écosystèmes constituent une expression essentielle de la biodiversité et établissent un lien clair avec les instances politiques en dehors de la CDB. Nous soutenons le maintien du texte entre crochets dans l’OP39, qui encourage les Parties à élaborer des cartes nationales des écosystèmes à partir desquelles d’autres données et analyses peuvent être dérivées ou construites. Cela répond également au message clé A.4 du Rapport mondial, selon lequel </w:t>
      </w:r>
      <w:r>
        <w:rPr>
          <w:rFonts w:ascii="Twentieth Century" w:hAnsi="Twentieth Century" w:eastAsia="Twentieth Century" w:cs="Twentieth Century"/>
          <w:sz w:val="24"/>
          <w:szCs w:val="24"/>
        </w:rPr>
        <w:t xml:space="preserve">« </w:t>
      </w:r>
      <w:r>
        <w:rPr>
          <w:rFonts w:ascii="Twentieth Century" w:hAnsi="Twentieth Century" w:eastAsia="Twentieth Century" w:cs="Twentieth Century"/>
          <w:i/>
          <w:iCs/>
          <w:sz w:val="24"/>
          <w:szCs w:val="24"/>
        </w:rPr>
        <w:t xml:space="preserve">l’aménagement du territoire, tel que détaillé dans la cible 1 du Cadre…, pourrait servir de base pour renforcer la cohérence des politiques et </w:t>
      </w:r>
      <w:r>
        <w:rPr>
          <w:rFonts w:ascii="Twentieth Century" w:hAnsi="Twentieth Century" w:eastAsia="Twentieth Century" w:cs="Twentieth Century"/>
          <w:sz w:val="24"/>
          <w:szCs w:val="24"/>
        </w:rPr>
        <w:t xml:space="preserve">l’intégration ». Notre expérience dans l’accompagnement de partenaires au Mozambique pour </w:t>
      </w:r>
      <w:hyperlink r:id="rId14">
        <w:r>
          <w:rPr>
            <w:rFonts w:ascii="Twentieth Century" w:hAnsi="Twentieth Century" w:eastAsia="Twentieth Century" w:cs="Twentieth Century"/>
            <w:color w:val="1155CC"/>
            <w:sz w:val="24"/>
            <w:szCs w:val="24"/>
            <w:u w:val="single"/>
          </w:rPr>
          <w:t xml:space="preserve">la réalisation</w:t>
        </w:r>
      </w:hyperlink>
      <w:r>
        <w:rPr>
          <w:rFonts w:ascii="Twentieth Century" w:hAnsi="Twentieth Century" w:eastAsia="Twentieth Century" w:cs="Twentieth Century"/>
          <w:sz w:val="24"/>
          <w:szCs w:val="24"/>
        </w:rPr>
        <w:t xml:space="preserve"> d’une cartographie des écosystèmes à l’échelle nationale a permis de mener des actions de conservation significatives qui auraient été difficiles à mettre en œuvre autrement, notamment l’identification d’écosystèmes à haute intégrité conformément à la cible 1 du KM-GBF. </w:t>
      </w:r>
    </w:p>
    <w:p w:rsidR="009C0A0D" w:rsidRDefault="00000000" w14:paraId="217E4EFD"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le texte de l’OP32 afin de maintenir la dynamique en faveur de la cohérence des politiques et d’une mise en œuvre synergique. </w:t>
      </w:r>
      <w:r>
        <w:rPr>
          <w:rFonts w:ascii="Twentieth Century" w:hAnsi="Twentieth Century" w:eastAsia="Twentieth Century" w:cs="Twentieth Century"/>
          <w:sz w:val="24"/>
          <w:szCs w:val="24"/>
        </w:rPr>
        <w:t xml:space="preserve">Les données scientifiques montrent clairement que les objectifs en matière de biodiversité et de climat sont étroitement liés, et qu’aucun objectif d’une convention individuelle liée à la biodiversité ne peut être atteint isolément. Ce paragraphe répond directement aux conclusions de l’Examen mondial et fait écho à la fois aux appels de la société civile et </w:t>
      </w:r>
      <w:hyperlink r:id="rId15">
        <w:r>
          <w:rPr>
            <w:rFonts w:ascii="Twentieth Century" w:hAnsi="Twentieth Century" w:eastAsia="Twentieth Century" w:cs="Twentieth Century"/>
            <w:color w:val="1155CC"/>
            <w:sz w:val="24"/>
            <w:szCs w:val="24"/>
            <w:u w:val="single"/>
          </w:rPr>
          <w:t xml:space="preserve">aux preuves</w:t>
        </w:r>
      </w:hyperlink>
      <w:r>
        <w:rPr>
          <w:rFonts w:ascii="Twentieth Century" w:hAnsi="Twentieth Century" w:eastAsia="Twentieth Century" w:cs="Twentieth Century"/>
          <w:sz w:val="24"/>
          <w:szCs w:val="24"/>
        </w:rPr>
        <w:t xml:space="preserve"> indiquant que les stratégies en matière de biodiversité et de climat manquent de liens concrets aux niveaux national et infranational. [Voir également : OP12 au point 9(b) de l’ordre du jour, ci-dessous]. Le défi consiste toutefois à mettre en œuvre un programme d’intégration, qui doit se refléter dans les demandes adressées au Secrétaire exécutif et dans les discussions budgétaires. </w:t>
      </w:r>
    </w:p>
    <w:p w:rsidR="009C0A0D" w:rsidRDefault="00000000" w14:paraId="05A9079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[supprimer les crochets autour de] le texte des OP 35 et 37 exhortant les Parties à renforcer l’implication de tous dans la planification et la mise en œuvre</w:t>
      </w:r>
      <w:r>
        <w:rPr>
          <w:rFonts w:ascii="Twentieth Century" w:hAnsi="Twentieth Century" w:eastAsia="Twentieth Century" w:cs="Twentieth Century"/>
          <w:sz w:val="24"/>
          <w:szCs w:val="24"/>
        </w:rPr>
        <w:t xml:space="preserve">, ainsi que le texte portant spécifiquement sur la facilitation de la participation pleine et effective des peuples autochtones et des communautés locales, des femmes et des jeunes.  </w:t>
      </w:r>
    </w:p>
    <w:p w:rsidR="009C0A0D" w:rsidRDefault="00000000" w14:paraId="40960BB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rPr>
        <w:t xml:space="preserve">Ajouter </w:t>
      </w:r>
      <w:r>
        <w:rPr>
          <w:rFonts w:ascii="Twentieth Century" w:hAnsi="Twentieth Century" w:eastAsia="Twentieth Century" w:cs="Twentieth Century"/>
          <w:color w:val="0070C0"/>
          <w:sz w:val="24"/>
          <w:szCs w:val="24"/>
        </w:rPr>
        <w:t xml:space="preserve">une nouvelle OP (après l’OP 35), ou inclure dans la Déclaration des dirigeants, un appel à davantage d’investissements en faveur des personnes en première ligne de la conservation. </w:t>
      </w:r>
      <w:r>
        <w:rPr>
          <w:rFonts w:ascii="Twentieth Century" w:hAnsi="Twentieth Century" w:eastAsia="Twentieth Century" w:cs="Twentieth Century"/>
          <w:sz w:val="24"/>
          <w:szCs w:val="24"/>
        </w:rPr>
        <w:t xml:space="preserve">Des initiatives telles que « </w:t>
      </w:r>
      <w:hyperlink r:id="rId16">
        <w:r>
          <w:rPr>
            <w:rFonts w:ascii="Twentieth Century" w:hAnsi="Twentieth Century" w:eastAsia="Twentieth Century" w:cs="Twentieth Century"/>
            <w:color w:val="1155CC"/>
            <w:sz w:val="24"/>
            <w:szCs w:val="24"/>
            <w:u w:val="single"/>
          </w:rPr>
          <w:t xml:space="preserve">Women Ocean Guardians</w:t>
        </w:r>
      </w:hyperlink>
      <w:r>
        <w:rPr>
          <w:rFonts w:ascii="Twentieth Century" w:hAnsi="Twentieth Century" w:eastAsia="Twentieth Century" w:cs="Twentieth Century"/>
          <w:sz w:val="24"/>
          <w:szCs w:val="24"/>
        </w:rPr>
        <w:t xml:space="preserve"> » </w:t>
      </w:r>
      <w:r>
        <w:rPr>
          <w:rFonts w:ascii="Twentieth Century" w:hAnsi="Twentieth Century" w:eastAsia="Twentieth Century" w:cs="Twentieth Century"/>
          <w:sz w:val="24"/>
          <w:szCs w:val="24"/>
        </w:rPr>
        <w:t xml:space="preserve">démontrent comment les engagements volontaires se traduisent par la mise en œuvre du KM-GBF grâce à un partenariat mondial axé sur une gouvernance des océans transformatrice en matière de genre et sur le leadership des femmes dans la conservation marine. Les gardes forestiers, </w:t>
      </w:r>
      <w:r>
        <w:rPr>
          <w:rFonts w:ascii="Twentieth Century" w:hAnsi="Twentieth Century" w:eastAsia="Twentieth Century" w:cs="Twentieth Century"/>
          <w:sz w:val="24"/>
          <w:szCs w:val="24"/>
        </w:rPr>
        <w:t xml:space="preserve">les éco-gardes</w:t>
      </w:r>
      <w:r>
        <w:rPr>
          <w:rFonts w:ascii="Twentieth Century" w:hAnsi="Twentieth Century" w:eastAsia="Twentieth Century" w:cs="Twentieth Century"/>
          <w:sz w:val="24"/>
          <w:szCs w:val="24"/>
        </w:rPr>
        <w:t xml:space="preserve">, les pêcheurs et les autres acteurs œuvrant en première ligne de la conservation jouent un rôle essentiel dans la mise en œuvre du KM-GBF, mais ces personnes et leurs systèmes de gestion ne figurent pas en bonne place dans les appels à renforcer la mise en œuvre de 2026 à 2030. </w:t>
      </w:r>
    </w:p>
    <w:p w:rsidR="009C0A0D" w:rsidRDefault="00000000" w14:paraId="574C6B15" w14:textId="77777777">
      <w:pPr>
        <w:spacing w:line="240" w:lineRule="auto"/>
        <w:ind w:start="720"/>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9B4EB48" w14:textId="77777777">
      <w:pPr>
        <w:pStyle w:val="Heading1"/>
        <w:rPr>
          <w:shd w:val="clear" w:color="auto" w:fill="C6C6C6"/>
        </w:rPr>
      </w:pPr>
      <w:bookmarkStart w:name="_fi9rlyfsjwv0" w:colFirst="0" w:colLast="0" w:id="4"/>
      <w:bookmarkEnd w:id="4"/>
      <w:r>
        <w:lastRenderedPageBreak/>
      </w:r>
      <w:r>
        <w:t xml:space="preserve">Point 9b de l’ordre du jour : « Cadre de suivi du Cadre mondial de Kunming-Montréal pour la biodiversité » </w:t>
      </w:r>
    </w:p>
    <w:p w:rsidR="009C0A0D" w:rsidRDefault="00000000" w14:paraId="1CB2FD2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i/>
          <w:iCs/>
          <w:sz w:val="24"/>
          <w:szCs w:val="24"/>
        </w:rPr>
        <w:t xml:space="preserve">Projet de décision actuel : </w:t>
      </w:r>
      <w:hyperlink r:id="rId17">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[partie B]</w:t>
      </w:r>
    </w:p>
    <w:p w:rsidR="009C0A0D" w:rsidRDefault="00000000" w14:paraId="19A68C6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564E69E"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2AF012C4"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70CBB19"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le texte du paragraphe 7 des observations finales (OP7) appelant à ce que le deuxième examen mondial renforce l’évaluation des résultats et </w:t>
      </w:r>
      <w:r>
        <w:rPr>
          <w:rFonts w:ascii="Twentieth Century" w:hAnsi="Twentieth Century" w:eastAsia="Twentieth Century" w:cs="Twentieth Century"/>
          <w:color w:val="00B050"/>
          <w:sz w:val="24"/>
          <w:szCs w:val="24"/>
        </w:rPr>
        <w:t xml:space="preserve">de l’efficacité, et </w:t>
      </w:r>
      <w:r>
        <w:rPr>
          <w:rFonts w:ascii="Twentieth Century" w:hAnsi="Twentieth Century" w:eastAsia="Twentieth Century" w:cs="Twentieth Century"/>
          <w:color w:val="00B050"/>
          <w:sz w:val="24"/>
          <w:szCs w:val="24"/>
        </w:rPr>
        <w:t xml:space="preserve">envisagent de modifier le mandat de l’ASHTAG à cet égard. </w:t>
      </w:r>
      <w:r>
        <w:rPr>
          <w:rFonts w:ascii="Twentieth Century" w:hAnsi="Twentieth Century" w:eastAsia="Twentieth Century" w:cs="Twentieth Century"/>
          <w:sz w:val="24"/>
          <w:szCs w:val="24"/>
        </w:rPr>
        <w:t xml:space="preserve">L’examen mondial a clairement mis en évidence un manque </w:t>
      </w:r>
      <w:r>
        <w:rPr>
          <w:rFonts w:ascii="Twentieth Century" w:hAnsi="Twentieth Century" w:eastAsia="Twentieth Century" w:cs="Twentieth Century"/>
          <w:i/>
          <w:iCs/>
          <w:sz w:val="24"/>
          <w:szCs w:val="24"/>
        </w:rPr>
        <w:t xml:space="preserve">« d’infrastructures techniques et de références nécessaires pour évaluer la santé des écosystèmes ou l’efficacité de leur gestion. Les lacunes sont particulièrement marquées dans les écosystèmes marins et en eaux profondes… » </w:t>
      </w:r>
      <w:r>
        <w:rPr>
          <w:rFonts w:ascii="Twentieth Century" w:hAnsi="Twentieth Century" w:eastAsia="Twentieth Century" w:cs="Twentieth Century"/>
          <w:sz w:val="24"/>
          <w:szCs w:val="24"/>
        </w:rPr>
        <w:t xml:space="preserve">Premièrement, nous proposons de modifier la formulation du paragraphe OP7 afin de faire plus directement référence aux objectifs à l’horizon 2050 du Cadre mondial de Kunming-Montréal (par exemple, les résultats liés au renforcement de l’« intégrité, de la connectivité et de la résilience » des écosystèmes). Deuxièmement, la WCS possède une vaste expérience dans le déploiement d’outils technologiques visant à rationaliser la collecte et la gestion des données pour le suivi de la biodiversité et la mesure des résultats, y compris dans le domaine marin. Enfin, nous prenons note des travaux en cours de la Commission mondiale des aires protégées de l’UICN visant à explorer ces questions relatives </w:t>
      </w:r>
      <w:hyperlink r:id="rId18">
        <w:r>
          <w:rPr>
            <w:rFonts w:ascii="Twentieth Century" w:hAnsi="Twentieth Century" w:eastAsia="Twentieth Century" w:cs="Twentieth Century"/>
            <w:color w:val="1155CC"/>
            <w:sz w:val="24"/>
            <w:szCs w:val="24"/>
            <w:u w:val="single"/>
          </w:rPr>
          <w:t xml:space="preserve">aux résultats</w:t>
        </w:r>
      </w:hyperlink>
      <w:r>
        <w:rPr>
          <w:rFonts w:ascii="Twentieth Century" w:hAnsi="Twentieth Century" w:eastAsia="Twentieth Century" w:cs="Twentieth Century"/>
          <w:sz w:val="24"/>
          <w:szCs w:val="24"/>
        </w:rPr>
        <w:t xml:space="preserve"> et à l’intégrité écologique. </w:t>
      </w:r>
    </w:p>
    <w:p w:rsidR="009C0A0D" w:rsidRDefault="00000000" w14:paraId="1E729C6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[supprimer les crochets autour de] le texte des paragraphes OP11 et 22(j) en prévision du deuxième examen mondial, ainsi que l’intérêt d’orienter les investissements vers les domaines qui en ont besoin. </w:t>
      </w:r>
      <w:r>
        <w:rPr>
          <w:rFonts w:ascii="Twentieth Century" w:hAnsi="Twentieth Century" w:eastAsia="Twentieth Century" w:cs="Twentieth Century"/>
          <w:sz w:val="24"/>
          <w:szCs w:val="24"/>
        </w:rPr>
        <w:t xml:space="preserve">Nous reconnaissons l’incertitude quant à ce qui pourrait exister entre 2030 et 2050 en tant que version amendée du KM-GBF. Cependant, nous soutenons fermement une formulation qui s’appuierait directement sur les conclusions des examens mondiaux plutôt que d’être élaborée en vase clos. La conception du deuxième examen mondial devrait en tenir compte tout en restant axée sur les efforts historiques visant à mettre en œuvre les cibles existantes pour 2030. </w:t>
      </w:r>
    </w:p>
    <w:p w:rsidR="009C0A0D" w:rsidRDefault="00000000" w14:paraId="2DE5F71A"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Conserver</w:t>
      </w:r>
      <w:r>
        <w:rPr>
          <w:rFonts w:ascii="Twentieth Century" w:hAnsi="Twentieth Century" w:eastAsia="Twentieth Century" w:cs="Twentieth Century"/>
          <w:color w:val="00B050"/>
          <w:sz w:val="24"/>
          <w:szCs w:val="24"/>
        </w:rPr>
        <w:t xml:space="preserve">, dans le </w:t>
      </w:r>
      <w:r>
        <w:rPr>
          <w:rFonts w:ascii="Twentieth Century" w:hAnsi="Twentieth Century" w:eastAsia="Twentieth Century" w:cs="Twentieth Century"/>
          <w:color w:val="00B050"/>
          <w:sz w:val="24"/>
          <w:szCs w:val="24"/>
        </w:rPr>
        <w:t xml:space="preserve">cahier </w:t>
      </w:r>
      <w:r>
        <w:rPr>
          <w:rFonts w:ascii="Twentieth Century" w:hAnsi="Twentieth Century" w:eastAsia="Twentieth Century" w:cs="Twentieth Century"/>
          <w:color w:val="00B050"/>
          <w:sz w:val="24"/>
          <w:szCs w:val="24"/>
        </w:rPr>
        <w:t xml:space="preserve">des charges de l’ASHTAG [annexe II, paragraphe 1(b)], les dispositions relatives à l’élaboration de méthodologies, en particulier l’utilisation de </w:t>
      </w:r>
      <w:r>
        <w:rPr>
          <w:rFonts w:ascii="Twentieth Century" w:hAnsi="Twentieth Century" w:eastAsia="Twentieth Century" w:cs="Twentieth Century"/>
          <w:color w:val="00B050"/>
          <w:sz w:val="24"/>
          <w:szCs w:val="24"/>
        </w:rPr>
        <w:t xml:space="preserve">désagrégations</w:t>
      </w:r>
      <w:r>
        <w:rPr>
          <w:rFonts w:ascii="Twentieth Century" w:hAnsi="Twentieth Century" w:eastAsia="Twentieth Century" w:cs="Twentieth Century"/>
          <w:color w:val="00B050"/>
          <w:sz w:val="24"/>
          <w:szCs w:val="24"/>
        </w:rPr>
        <w:t xml:space="preserve">, afin d’évaluer si les lacunes en matière de suivi sont liées à la disponibilité des données, aux capacités techniques ou à d’autres obstacles à la communication d’informations. </w:t>
      </w:r>
      <w:r>
        <w:rPr>
          <w:rFonts w:ascii="Twentieth Century" w:hAnsi="Twentieth Century" w:eastAsia="Twentieth Century" w:cs="Twentieth Century"/>
          <w:sz w:val="24"/>
          <w:szCs w:val="24"/>
        </w:rPr>
        <w:t xml:space="preserve">Le rapport mondial souligne le caractère incomplet des informations sur les tendances spécifiques aux biomes ou aux écosystèmes, ce qui constitue un élément clé pour orienter les investissements dans le renforcement des capacités, le perfectionnement méthodologique et bien d’autres domaines. Toutefois, le texte contient également des dispositions relatives à la soumission d’indicateurs nationaux ou autonomes qui constitueraient </w:t>
      </w:r>
      <w:r>
        <w:rPr>
          <w:rFonts w:ascii="Twentieth Century" w:hAnsi="Twentieth Century" w:eastAsia="Twentieth Century" w:cs="Twentieth Century"/>
          <w:sz w:val="24"/>
          <w:szCs w:val="24"/>
        </w:rPr>
        <w:t xml:space="preserve">des désagrégations </w:t>
      </w:r>
      <w:r>
        <w:rPr>
          <w:rFonts w:ascii="Twentieth Century" w:hAnsi="Twentieth Century" w:eastAsia="Twentieth Century" w:cs="Twentieth Century"/>
          <w:sz w:val="24"/>
          <w:szCs w:val="24"/>
        </w:rPr>
        <w:t xml:space="preserve">des indicateurs phares. Ce point mérite une analyse plus approfondie et des recommandations claires, qui pourraient être examinées par tout groupe d’experts post-CoP17. Lorsque des limites méthodologiques et liées aux données entravent la communication d’informations sur les principales menaces pesant sur la biodiversité (telles que la pollution de l’eau et l’indicateur 7.1), nous pourrions avoir besoin de conseils techniques supplémentaires sur la manière de relever ces défis. </w:t>
      </w:r>
    </w:p>
    <w:p w:rsidR="009C0A0D" w:rsidRDefault="00000000" w14:paraId="6A456D5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047FCA92" w14:textId="77777777">
      <w:pPr>
        <w:pStyle w:val="Heading1"/>
        <w:rPr>
          <w:shd w:val="clear" w:color="auto" w:fill="C6C6C6"/>
        </w:rPr>
      </w:pPr>
      <w:bookmarkStart w:name="_8e8bffr3p28l" w:colFirst="0" w:colLast="0" w:id="5"/>
      <w:bookmarkEnd w:id="5"/>
      <w:r>
        <w:t xml:space="preserve">Point 13 de l’ordre du jour : « Coopération avec d’autres conventions et organisations internationales » </w:t>
      </w:r>
    </w:p>
    <w:p w:rsidR="009C0A0D" w:rsidRDefault="00000000" w14:paraId="358AE61B"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Projet de décision actuel : </w:t>
      </w:r>
      <w:hyperlink r:id="rId19">
        <w:r>
          <w:rPr>
            <w:rFonts w:ascii="Twentieth Century" w:hAnsi="Twentieth Century" w:eastAsia="Twentieth Century" w:cs="Twentieth Century"/>
            <w:i/>
            <w:iCs/>
            <w:color w:val="0563C1"/>
            <w:sz w:val="24"/>
            <w:szCs w:val="24"/>
            <w:u w:val="single"/>
          </w:rPr>
          <w:t xml:space="preserve">SBI/REC/6/6</w:t>
        </w:r>
      </w:hyperlink>
      <w:r>
        <w:rPr>
          <w:rFonts w:ascii="Twentieth Century" w:hAnsi="Twentieth Century" w:eastAsia="Twentieth Century" w:cs="Twentieth Century"/>
          <w:sz w:val="24"/>
          <w:szCs w:val="24"/>
          <w:shd w:val="clear" w:color="auto" w:fill="C6C6C6"/>
        </w:rPr>
        <w:t xml:space="preserve"> </w:t>
      </w:r>
    </w:p>
    <w:p w:rsidR="009C0A0D" w:rsidRDefault="00000000" w14:paraId="2CAA73F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Rapport d’étape sur la biodiversité et le changement climatique : </w:t>
      </w:r>
      <w:hyperlink r:id="rId20">
        <w:r>
          <w:rPr>
            <w:rFonts w:ascii="Twentieth Century" w:hAnsi="Twentieth Century" w:eastAsia="Twentieth Century" w:cs="Twentieth Century"/>
            <w:i/>
            <w:iCs/>
            <w:color w:val="1155CC"/>
            <w:sz w:val="24"/>
            <w:szCs w:val="24"/>
            <w:u w:val="single"/>
          </w:rPr>
          <w:t xml:space="preserve">COP/17/11</w:t>
        </w:r>
      </w:hyperlink>
    </w:p>
    <w:p w:rsidR="009C0A0D" w:rsidRDefault="009C0A0D" w14:paraId="222EF876"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7EFE8FC5"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06DE6EA8"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1E47E0B3"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lastRenderedPageBreak/>
      </w:r>
      <w:r>
        <w:rPr>
          <w:rFonts w:ascii="Twentieth Century" w:hAnsi="Twentieth Century" w:eastAsia="Twentieth Century" w:cs="Twentieth Century"/>
          <w:b/>
          <w:bCs/>
          <w:color w:val="0070C0"/>
          <w:sz w:val="24"/>
          <w:szCs w:val="24"/>
          <w:highlight w:val="white"/>
        </w:rPr>
        <w:t xml:space="preserve">Modifier </w:t>
      </w:r>
      <w:r>
        <w:rPr>
          <w:rFonts w:ascii="Twentieth Century" w:hAnsi="Twentieth Century" w:eastAsia="Twentieth Century" w:cs="Twentieth Century"/>
          <w:color w:val="0070C0"/>
          <w:sz w:val="24"/>
          <w:szCs w:val="24"/>
          <w:highlight w:val="white"/>
        </w:rPr>
        <w:t xml:space="preserve">le texte provisoire de l’OP11 afin d’accueillir favorablement la feuille de route à plusieurs niveaux. </w:t>
      </w:r>
      <w:r>
        <w:rPr>
          <w:rFonts w:ascii="Twentieth Century" w:hAnsi="Twentieth Century" w:eastAsia="Twentieth Century" w:cs="Twentieth Century"/>
          <w:sz w:val="24"/>
          <w:szCs w:val="24"/>
          <w:highlight w:val="white"/>
        </w:rPr>
        <w:t xml:space="preserve">Une feuille de route à plusieurs niveaux proposant des options pour renforcer la cohérence des politiques constitue un document concret et exploitable qui peut être examiné plus en détail par les Parties. Le travail qui a présidé à l’élaboration du document publié dans </w:t>
      </w:r>
      <w:hyperlink r:id="rId21">
        <w:r>
          <w:rPr>
            <w:rFonts w:ascii="Twentieth Century" w:hAnsi="Twentieth Century" w:eastAsia="Twentieth Century" w:cs="Twentieth Century"/>
            <w:color w:val="1155CC"/>
            <w:sz w:val="24"/>
            <w:szCs w:val="24"/>
            <w:highlight w:val="white"/>
            <w:u w:val="single"/>
          </w:rPr>
          <w:t xml:space="preserve">le document COP/17/11</w:t>
        </w:r>
      </w:hyperlink>
      <w:r>
        <w:rPr>
          <w:rFonts w:ascii="Twentieth Century" w:hAnsi="Twentieth Century" w:eastAsia="Twentieth Century" w:cs="Twentieth Century"/>
          <w:sz w:val="24"/>
          <w:szCs w:val="24"/>
          <w:highlight w:val="white"/>
        </w:rPr>
        <w:t xml:space="preserve"> a été précieux et reflète les contributions des experts. Ce document devrait servir de base à la poursuite de la coopération.  </w:t>
      </w:r>
    </w:p>
    <w:p w:rsidR="009C0A0D" w:rsidRDefault="00000000" w14:paraId="4683F94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t xml:space="preserve">Modifier </w:t>
      </w:r>
      <w:r>
        <w:rPr>
          <w:rFonts w:ascii="Twentieth Century" w:hAnsi="Twentieth Century" w:eastAsia="Twentieth Century" w:cs="Twentieth Century"/>
          <w:color w:val="0070C0"/>
          <w:sz w:val="24"/>
          <w:szCs w:val="24"/>
          <w:highlight w:val="white"/>
        </w:rPr>
        <w:t xml:space="preserve">le texte des demandes adressées au Secrétaire exécutif (OP16(c)) afin d’inclure la feuille de route à plusieurs niveaux dans les actions de sensibilisation menées auprès des secrétariats des Conventions de Rio. </w:t>
      </w:r>
      <w:r>
        <w:rPr>
          <w:rFonts w:ascii="Twentieth Century" w:hAnsi="Twentieth Century" w:eastAsia="Twentieth Century" w:cs="Twentieth Century"/>
          <w:sz w:val="24"/>
          <w:szCs w:val="24"/>
          <w:highlight w:val="white"/>
        </w:rPr>
        <w:t xml:space="preserve">Bien que les Parties à la CDB ne puissent pas décider à la place des Parties aux autres Conventions de Rio à Erevan, elles peuvent veiller à ce que tout soit mis en œuvre par la présente Convention pour rechercher une coopération accrue, des gains d’efficacité et des travaux techniques se renforçant mutuellement. Le partage de la feuille de route à plusieurs niveaux est un moyen de faire avancer les discussions sur la base d’une proposition concrète. Certains éléments peuvent également être extraits ou discutés de manière abstraite. </w:t>
      </w:r>
    </w:p>
    <w:p w:rsidR="009C0A0D" w:rsidRDefault="009C0A0D" w14:paraId="50003413"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DA97B7" w14:textId="77777777">
      <w:pPr>
        <w:pStyle w:val="Heading1"/>
        <w:rPr>
          <w:shd w:val="clear" w:color="auto" w:fill="C6C6C6"/>
        </w:rPr>
      </w:pPr>
      <w:bookmarkStart w:name="_55d2dkya2trc" w:colFirst="0" w:colLast="0" w:id="6"/>
      <w:bookmarkEnd w:id="6"/>
      <w:r>
        <w:t xml:space="preserve">Point 17(c) de l’ordre du jour : « Examen stratégique et mises à jour du </w:t>
      </w:r>
      <w:r>
        <w:t xml:space="preserve">programme </w:t>
      </w:r>
      <w:r>
        <w:t xml:space="preserve">de travail sur les aires protégées » </w:t>
      </w:r>
    </w:p>
    <w:p w:rsidR="009C0A0D" w:rsidRDefault="00000000" w14:paraId="06FB2705"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Projet de décision actuel : </w:t>
      </w:r>
      <w:hyperlink r:id="rId22">
        <w:r>
          <w:rPr>
            <w:rFonts w:ascii="Twentieth Century" w:hAnsi="Twentieth Century" w:eastAsia="Twentieth Century" w:cs="Twentieth Century"/>
            <w:i/>
            <w:iCs/>
            <w:color w:val="0070C0"/>
            <w:sz w:val="24"/>
            <w:szCs w:val="24"/>
            <w:u w:val="single"/>
          </w:rPr>
          <w:t xml:space="preserve">SBSTTA/REC/28/5</w:t>
        </w:r>
      </w:hyperlink>
    </w:p>
    <w:p w:rsidR="009C0A0D" w:rsidRDefault="009C0A0D" w14:paraId="6C148EA1" w14:textId="77777777">
      <w:pPr>
        <w:spacing w:line="240" w:lineRule="auto"/>
        <w:rPr>
          <w:rFonts w:ascii="Twentieth Century" w:hAnsi="Twentieth Century" w:eastAsia="Twentieth Century" w:cs="Twentieth Century"/>
          <w:sz w:val="24"/>
          <w:szCs w:val="24"/>
          <w:shd w:val="clear" w:color="auto" w:fill="C6C6C6"/>
        </w:rPr>
      </w:pPr>
    </w:p>
    <w:p w:rsidR="009C0A0D" w:rsidRDefault="00000000" w14:paraId="6BB0AFF2"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745AC1AF"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8C550A2"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le texte du paragraphe OP14(c)(ii) invitant le Secrétariat à compiler les points de vue sur les enseignements tirés concernant l’objectif 3 et « </w:t>
      </w:r>
      <w:r>
        <w:rPr>
          <w:rFonts w:ascii="Twentieth Century" w:hAnsi="Twentieth Century" w:eastAsia="Twentieth Century" w:cs="Twentieth Century"/>
          <w:i/>
          <w:iCs/>
          <w:color w:val="00B050"/>
          <w:sz w:val="24"/>
          <w:szCs w:val="24"/>
        </w:rPr>
        <w:t xml:space="preserve">l’intégrité écologique… </w:t>
      </w:r>
      <w:r>
        <w:rPr>
          <w:rFonts w:ascii="Twentieth Century" w:hAnsi="Twentieth Century" w:eastAsia="Twentieth Century" w:cs="Twentieth Century"/>
          <w:i/>
          <w:iCs/>
          <w:color w:val="00B050"/>
          <w:sz w:val="24"/>
          <w:szCs w:val="24"/>
        </w:rPr>
        <w:t xml:space="preserve">et </w:t>
      </w:r>
      <w:r>
        <w:rPr>
          <w:rFonts w:ascii="Twentieth Century" w:hAnsi="Twentieth Century" w:eastAsia="Twentieth Century" w:cs="Twentieth Century"/>
          <w:i/>
          <w:iCs/>
          <w:color w:val="00B050"/>
          <w:sz w:val="24"/>
          <w:szCs w:val="24"/>
        </w:rPr>
        <w:t xml:space="preserve">la résilience… y compris dans le contexte du changement climatique ». </w:t>
      </w:r>
      <w:r>
        <w:rPr>
          <w:rFonts w:ascii="Twentieth Century" w:hAnsi="Twentieth Century" w:eastAsia="Twentieth Century" w:cs="Twentieth Century"/>
          <w:sz w:val="24"/>
          <w:szCs w:val="24"/>
        </w:rPr>
        <w:t xml:space="preserve">Il est essentiel que nos efforts visant à établir, gérer, surveiller et rendre compte des mesures de conservation par zone restent axés sur les objectifs à long terme du KM-GBF. Sans intégrer les mesures par zone dans des stratégies plus larges de conservation des écosystèmes, et sans prendre en compte les impacts du changement climatique sur ces stratégies plus larges, les mesures individuelles à court terme sont vouées à l’échec. Il s’agit d’un processus essentiel pour recueillir les points de vue des Parties, qui pourront également éclairer le Congrès mondial sur les aires protégées et conservées organisé par le gouvernement du Panama et l’UICN en 2027. </w:t>
      </w:r>
    </w:p>
    <w:p w:rsidR="009C0A0D" w:rsidRDefault="00000000" w14:paraId="24B32CA5"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Modifier </w:t>
      </w:r>
      <w:r>
        <w:rPr>
          <w:rFonts w:ascii="Twentieth Century" w:hAnsi="Twentieth Century" w:eastAsia="Twentieth Century" w:cs="Twentieth Century"/>
          <w:color w:val="0070C0"/>
          <w:sz w:val="24"/>
          <w:szCs w:val="24"/>
        </w:rPr>
        <w:t xml:space="preserve">le texte du paragraphe (c)(v) de l’OP6 afin d’appeler à un examen plus approfondi des liens entre nature et culture. </w:t>
      </w:r>
      <w:r>
        <w:rPr>
          <w:rFonts w:ascii="Twentieth Century" w:hAnsi="Twentieth Century" w:eastAsia="Twentieth Century" w:cs="Twentieth Century"/>
          <w:sz w:val="24"/>
          <w:szCs w:val="24"/>
        </w:rPr>
        <w:t xml:space="preserve">Un aspect essentiel fait défaut dans ce </w:t>
      </w:r>
      <w:r>
        <w:rPr>
          <w:rFonts w:ascii="Twentieth Century" w:hAnsi="Twentieth Century" w:eastAsia="Twentieth Century" w:cs="Twentieth Century"/>
          <w:sz w:val="24"/>
          <w:szCs w:val="24"/>
        </w:rPr>
        <w:t xml:space="preserve">programme </w:t>
      </w:r>
      <w:r>
        <w:rPr>
          <w:rFonts w:ascii="Twentieth Century" w:hAnsi="Twentieth Century" w:eastAsia="Twentieth Century" w:cs="Twentieth Century"/>
          <w:sz w:val="24"/>
          <w:szCs w:val="24"/>
        </w:rPr>
        <w:t xml:space="preserve">de travail : le lien entre le KM-GBF et la gestion des liens bioculturels et de l’intégrité, qui relève souvent de la responsabilité conjointe du ministère de la Culture et d’autres ministères. À une époque où les ressources se raréfient, le potentiel des liens entre nature et culture peut et doit être renforcé, en s’appuyant sur les travaux et l’expertise issus d’outils tels que la Convention du patrimoine mondial. </w:t>
      </w:r>
    </w:p>
    <w:p w:rsidR="009C0A0D" w:rsidRDefault="00000000" w14:paraId="08C48EF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[supprimer les crochets autour de] le texte de l’OP 14(c)(iii) conformément aux principes de non-contact, d’intangibilité et de précaution. </w:t>
      </w:r>
      <w:r>
        <w:rPr>
          <w:rFonts w:ascii="Twentieth Century" w:hAnsi="Twentieth Century" w:eastAsia="Twentieth Century" w:cs="Twentieth Century"/>
          <w:color w:val="242424"/>
          <w:sz w:val="24"/>
          <w:szCs w:val="24"/>
        </w:rPr>
        <w:t xml:space="preserve">Les peuples autochtones en isolement volontaire ont besoin d’une norme de non-contact afin que leurs droits à l’autodétermination soient respectés. </w:t>
      </w:r>
    </w:p>
    <w:p w:rsidR="009C0A0D" w:rsidRDefault="00000000" w14:paraId="77AD1EB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47818C1C" w14:textId="77777777">
      <w:pPr>
        <w:pStyle w:val="Heading1"/>
        <w:rPr>
          <w:shd w:val="clear" w:color="auto" w:fill="C6C6C6"/>
        </w:rPr>
      </w:pPr>
      <w:bookmarkStart w:name="_fqnycii1cmkc" w:colFirst="0" w:colLast="0" w:id="7"/>
      <w:bookmarkEnd w:id="7"/>
      <w:r>
        <w:t xml:space="preserve">Point 17(d) de l’ordre du jour : « Domaines dans lesquels des travaux supplémentaires pourraient être menés dans le cadre du Cadre » </w:t>
      </w:r>
    </w:p>
    <w:p w:rsidR="009C0A0D" w:rsidRDefault="00000000" w14:paraId="4FE8D84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Projet de décision actuel : </w:t>
      </w:r>
      <w:hyperlink r:id="rId23">
        <w:r>
          <w:rPr>
            <w:rFonts w:ascii="Twentieth Century" w:hAnsi="Twentieth Century" w:eastAsia="Twentieth Century" w:cs="Twentieth Century"/>
            <w:i/>
            <w:iCs/>
            <w:color w:val="0563C1"/>
            <w:sz w:val="24"/>
            <w:szCs w:val="24"/>
            <w:u w:val="single"/>
          </w:rPr>
          <w:t xml:space="preserve">SBSTTA/REC/27/6</w:t>
        </w:r>
      </w:hyperlink>
      <w:r>
        <w:rPr>
          <w:rFonts w:ascii="Twentieth Century" w:hAnsi="Twentieth Century" w:eastAsia="Twentieth Century" w:cs="Twentieth Century"/>
          <w:sz w:val="24"/>
          <w:szCs w:val="24"/>
          <w:shd w:val="clear" w:color="auto" w:fill="C6C6C6"/>
        </w:rPr>
        <w:t xml:space="preserve"> </w:t>
      </w:r>
    </w:p>
    <w:p w:rsidR="009C0A0D" w:rsidRDefault="00000000" w14:paraId="32BDE7E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3A771131"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04DB511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6CC242A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le texte du projet de décision B. </w:t>
      </w:r>
      <w:r>
        <w:rPr>
          <w:rFonts w:ascii="Twentieth Century" w:hAnsi="Twentieth Century" w:eastAsia="Twentieth Century" w:cs="Twentieth Century"/>
          <w:sz w:val="24"/>
          <w:szCs w:val="24"/>
        </w:rPr>
        <w:t xml:space="preserve">La pollution constitue une menace majeure pour </w:t>
      </w:r>
      <w:r>
        <w:rPr>
          <w:rFonts w:ascii="Twentieth Century" w:hAnsi="Twentieth Century" w:eastAsia="Twentieth Century" w:cs="Twentieth Century"/>
          <w:sz w:val="24"/>
          <w:szCs w:val="24"/>
        </w:rPr>
        <w:t xml:space="preserve">la biodiversité et </w:t>
      </w:r>
      <w:r>
        <w:rPr>
          <w:rFonts w:ascii="Twentieth Century" w:hAnsi="Twentieth Century" w:eastAsia="Twentieth Century" w:cs="Twentieth Century"/>
          <w:sz w:val="24"/>
          <w:szCs w:val="24"/>
        </w:rPr>
        <w:t xml:space="preserve">relie souvent différents domaines écologiques et autorités de gestion (par exemple, la pollution d’origine terrestre </w:t>
      </w:r>
      <w:hyperlink r:id="rId24">
        <w:r>
          <w:rPr>
            <w:rFonts w:ascii="Twentieth Century" w:hAnsi="Twentieth Century" w:eastAsia="Twentieth Century" w:cs="Twentieth Century"/>
            <w:color w:val="1155CC"/>
            <w:sz w:val="24"/>
            <w:szCs w:val="24"/>
            <w:u w:val="single"/>
          </w:rPr>
          <w:t xml:space="preserve">affectant</w:t>
        </w:r>
      </w:hyperlink>
      <w:r>
        <w:rPr>
          <w:rFonts w:ascii="Twentieth Century" w:hAnsi="Twentieth Century" w:eastAsia="Twentieth Century" w:cs="Twentieth Century"/>
          <w:sz w:val="24"/>
          <w:szCs w:val="24"/>
        </w:rPr>
        <w:t xml:space="preserve"> les aires marines protégées). Il s’agit là d’un défi unique et urgent pour enrayer et inverser la perte de biodiversité, et la CDB est bien placée pour s’investir davantage dans ce domaine. Si </w:t>
      </w:r>
      <w:r>
        <w:rPr>
          <w:rFonts w:ascii="Twentieth Century" w:hAnsi="Twentieth Century" w:eastAsia="Twentieth Century" w:cs="Twentieth Century"/>
          <w:sz w:val="24"/>
          <w:szCs w:val="24"/>
        </w:rPr>
        <w:t xml:space="preserve">des formes </w:t>
      </w:r>
      <w:r>
        <w:rPr>
          <w:rFonts w:ascii="Twentieth Century" w:hAnsi="Twentieth Century" w:eastAsia="Twentieth Century" w:cs="Twentieth Century"/>
          <w:sz w:val="24"/>
          <w:szCs w:val="24"/>
        </w:rPr>
        <w:t xml:space="preserve">spécifiques </w:t>
      </w:r>
      <w:r>
        <w:rPr>
          <w:rFonts w:ascii="Twentieth Century" w:hAnsi="Twentieth Century" w:eastAsia="Twentieth Century" w:cs="Twentieth Century"/>
          <w:sz w:val="24"/>
          <w:szCs w:val="24"/>
        </w:rPr>
        <w:t xml:space="preserve">de pollution devaient être mentionnées, nous recommandons vivement de faire référence aux eaux usées, au bruit et à d’autres formes de pollution ayant un impact négatif sur les espèces et les écosystèmes marins.</w:t>
      </w:r>
    </w:p>
    <w:p w:rsidR="009C0A0D" w:rsidRDefault="009C0A0D" w14:paraId="7384116D"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2C9D801B" w14:textId="77777777">
      <w:pPr>
        <w:pStyle w:val="Heading1"/>
        <w:rPr>
          <w:shd w:val="clear" w:color="auto" w:fill="C6C6C6"/>
        </w:rPr>
      </w:pPr>
      <w:bookmarkStart w:name="_grh24veb2skd" w:colFirst="0" w:colLast="0" w:id="8"/>
      <w:bookmarkEnd w:id="8"/>
      <w:r>
        <w:t xml:space="preserve">Point 18(a) de l’ordre du jour : « Biodiversité et changement climatique » </w:t>
      </w:r>
    </w:p>
    <w:p w:rsidR="009C0A0D" w:rsidRDefault="00000000" w14:paraId="314848E0"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Projet de décision de la CoP17 : </w:t>
      </w:r>
      <w:hyperlink r:id="rId25">
        <w:r>
          <w:rPr>
            <w:rFonts w:ascii="Twentieth Century" w:hAnsi="Twentieth Century" w:eastAsia="Twentieth Century" w:cs="Twentieth Century"/>
            <w:i/>
            <w:iCs/>
            <w:color w:val="0563C1"/>
            <w:sz w:val="24"/>
            <w:szCs w:val="24"/>
            <w:u w:val="single"/>
          </w:rPr>
          <w:t xml:space="preserve">SBSTTA/REC/27/3</w:t>
        </w:r>
      </w:hyperlink>
      <w:r>
        <w:rPr>
          <w:rFonts w:ascii="Twentieth Century" w:hAnsi="Twentieth Century" w:eastAsia="Twentieth Century" w:cs="Twentieth Century"/>
          <w:sz w:val="24"/>
          <w:szCs w:val="24"/>
          <w:shd w:val="clear" w:color="auto" w:fill="C6C6C6"/>
        </w:rPr>
        <w:t xml:space="preserve"> </w:t>
      </w:r>
    </w:p>
    <w:p w:rsidR="009C0A0D" w:rsidRDefault="00000000" w14:paraId="3D2094A3"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Rapport d’étape sur la biodiversité et le changement climatique : </w:t>
      </w:r>
      <w:hyperlink r:id="rId26">
        <w:r>
          <w:rPr>
            <w:rFonts w:ascii="Twentieth Century" w:hAnsi="Twentieth Century" w:eastAsia="Twentieth Century" w:cs="Twentieth Century"/>
            <w:i/>
            <w:iCs/>
            <w:color w:val="1155CC"/>
            <w:sz w:val="24"/>
            <w:szCs w:val="24"/>
            <w:u w:val="single"/>
          </w:rPr>
          <w:t xml:space="preserve">COP/17/11</w:t>
        </w:r>
      </w:hyperlink>
    </w:p>
    <w:p w:rsidR="009C0A0D" w:rsidRDefault="00000000" w14:paraId="25F3143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95A99FA"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23D20787"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4B779BB0"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le texte figurant au paragraphe (a) de la partie opérationnelle 6 (OP6) du projet de décision de la COP17, en particulier celui qui porte sur l’intégrité des écosystèmes. </w:t>
      </w:r>
      <w:r>
        <w:rPr>
          <w:rFonts w:ascii="Twentieth Century" w:hAnsi="Twentieth Century" w:eastAsia="Twentieth Century" w:cs="Twentieth Century"/>
          <w:sz w:val="24"/>
          <w:szCs w:val="24"/>
        </w:rPr>
        <w:t xml:space="preserve">Conformément aux contributions de </w:t>
      </w:r>
      <w:hyperlink r:id="rId27">
        <w:r>
          <w:rPr>
            <w:rFonts w:ascii="Twentieth Century" w:hAnsi="Twentieth Century" w:eastAsia="Twentieth Century" w:cs="Twentieth Century"/>
            <w:color w:val="0563C1"/>
            <w:sz w:val="24"/>
            <w:szCs w:val="24"/>
            <w:u w:val="single"/>
          </w:rPr>
          <w:t xml:space="preserve">l’Afrique du Sud</w:t>
        </w:r>
      </w:hyperlink>
      <w:r>
        <w:t xml:space="preserve">, </w:t>
      </w:r>
      <w:hyperlink r:id="rId28">
        <w:r>
          <w:rPr>
            <w:rFonts w:ascii="Twentieth Century" w:hAnsi="Twentieth Century" w:eastAsia="Twentieth Century" w:cs="Twentieth Century"/>
            <w:color w:val="0563C1"/>
            <w:sz w:val="24"/>
            <w:szCs w:val="24"/>
            <w:u w:val="single"/>
          </w:rPr>
          <w:t xml:space="preserve">de la Colombie</w:t>
        </w:r>
      </w:hyperlink>
      <w:r>
        <w:t xml:space="preserve"> et </w:t>
      </w:r>
      <w:hyperlink r:id="rId29">
        <w:r>
          <w:rPr>
            <w:rFonts w:ascii="Twentieth Century" w:hAnsi="Twentieth Century" w:eastAsia="Twentieth Century" w:cs="Twentieth Century"/>
            <w:color w:val="0563C1"/>
            <w:sz w:val="24"/>
            <w:szCs w:val="24"/>
            <w:u w:val="single"/>
          </w:rPr>
          <w:t xml:space="preserve">de la Nouvelle-Zélande</w:t>
        </w:r>
      </w:hyperlink>
      <w:r>
        <w:rPr>
          <w:rFonts w:ascii="Twentieth Century" w:hAnsi="Twentieth Century" w:eastAsia="Twentieth Century" w:cs="Twentieth Century"/>
          <w:sz w:val="24"/>
          <w:szCs w:val="24"/>
        </w:rPr>
        <w:t xml:space="preserve">, il est essentiel que l’intégrité des écosystèmes soit considérée comme un lien clé pour des actions synergiques concernant la perte de biodiversité et le changement climatique. Il est clairement établi que l’intégrité des écosystèmes est le moteur des services de régulation climatique et qu’elle génère des retombées positives tant pour l’atténuation du changement climatique que pour l’adaptation à celui-ci, ainsi que pour la restauration de la biodiversité. </w:t>
      </w:r>
    </w:p>
    <w:p w:rsidR="009C0A0D" w:rsidRDefault="00000000" w14:paraId="469C7A04"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Modifier </w:t>
      </w:r>
      <w:r>
        <w:rPr>
          <w:rFonts w:ascii="Twentieth Century" w:hAnsi="Twentieth Century" w:eastAsia="Twentieth Century" w:cs="Twentieth Century"/>
          <w:color w:val="0070C0"/>
          <w:sz w:val="24"/>
          <w:szCs w:val="24"/>
        </w:rPr>
        <w:t xml:space="preserve">le texte de l’OP15 afin de demander au Secrétaire exécutif de prendre en considération la feuille de route à plusieurs niveaux dans le cadre de la collaboration avec ses homologues au sein des autres Conventions de Rio, y compris la CCNUCC. </w:t>
      </w:r>
      <w:r>
        <w:rPr>
          <w:rFonts w:ascii="Twentieth Century" w:hAnsi="Twentieth Century" w:eastAsia="Twentieth Century" w:cs="Twentieth Century"/>
          <w:sz w:val="24"/>
          <w:szCs w:val="24"/>
        </w:rPr>
        <w:t xml:space="preserve">La feuille de route à plusieurs niveaux et ses éléments constituent une base concrète pour la poursuite des discussions entre les Parties aux différentes Conventions de Rio, ainsi qu’au sein de leurs organes directeurs. </w:t>
      </w:r>
    </w:p>
    <w:p w:rsidR="009C0A0D" w:rsidRDefault="009C0A0D" w14:paraId="7C01C570"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6B005FA8" w14:textId="77777777">
      <w:pPr>
        <w:pStyle w:val="Heading1"/>
        <w:rPr>
          <w:shd w:val="clear" w:color="auto" w:fill="C6C6C6"/>
        </w:rPr>
      </w:pPr>
      <w:bookmarkStart w:name="_k6m2qky3qvb7" w:colFirst="0" w:colLast="0" w:id="9"/>
      <w:bookmarkEnd w:id="9"/>
      <w:r>
        <w:t xml:space="preserve">Point 18(b) de l’ordre du jour : « Gestion durable de la faune sauvage » </w:t>
      </w:r>
    </w:p>
    <w:p w:rsidR="009C0A0D" w:rsidRDefault="00000000" w14:paraId="0862A78C"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Projet de décision de la CoP17 : </w:t>
      </w:r>
      <w:hyperlink r:id="rId30">
        <w:r>
          <w:rPr>
            <w:rFonts w:ascii="Twentieth Century" w:hAnsi="Twentieth Century" w:eastAsia="Twentieth Century" w:cs="Twentieth Century"/>
            <w:i/>
            <w:iCs/>
            <w:color w:val="0070C0"/>
            <w:sz w:val="24"/>
            <w:szCs w:val="24"/>
            <w:u w:val="single"/>
          </w:rPr>
          <w:t xml:space="preserve">SBSTTA/REC/28/4</w:t>
        </w:r>
      </w:hyperlink>
    </w:p>
    <w:p w:rsidR="009C0A0D" w:rsidRDefault="00000000" w14:paraId="4BC24E8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84C1C89"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1AEF9F25"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75B90D27" w14:textId="77777777">
      <w:pPr>
        <w:numPr>
          <w:ilvl w:val="0"/>
          <w:numId w:val="1"/>
        </w:numPr>
        <w:spacing w:line="240" w:lineRule="auto"/>
        <w:rPr>
          <w:rFonts w:ascii="Twentieth Century" w:hAnsi="Twentieth Century" w:eastAsia="Twentieth Century" w:cs="Twentieth Century"/>
          <w:sz w:val="20"/>
          <w:szCs w:val="20"/>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les principes et les domaines thématiques figurant dans les orientations volontaires, en veillant à ce que l’utilisation durable de la biodiversité n’ait pas d’incidence sur l’intégrité écologique. </w:t>
      </w:r>
      <w:r>
        <w:rPr>
          <w:rFonts w:ascii="Twentieth Century" w:hAnsi="Twentieth Century" w:eastAsia="Twentieth Century" w:cs="Twentieth Century"/>
          <w:sz w:val="24"/>
          <w:szCs w:val="24"/>
        </w:rPr>
        <w:t xml:space="preserve">Une mise en œuvre fragmentaire et/ou des impacts cumulatifs imprévus constituent un facteur clé de l’effondrement des écosystèmes. Le domaine thématique des orientations consacré à l’intégrité écologique, y compris les garanties selon lesquelles la gestion durable de la faune sauvage </w:t>
      </w:r>
      <w:r>
        <w:rPr>
          <w:rFonts w:ascii="Twentieth Century" w:hAnsi="Twentieth Century" w:eastAsia="Twentieth Century" w:cs="Twentieth Century"/>
          <w:i/>
          <w:iCs/>
          <w:sz w:val="24"/>
          <w:szCs w:val="24"/>
        </w:rPr>
        <w:t xml:space="preserve">« devrait préserver l’intégrité des écosystèmes et la biodiversité, en veillant à ce que cette gestion n’entraîne pas de dégradation à long terme des habitats, de perte des fonctions écosystémiques ou l’introduction et la propagation d’espèces exotiques envahissantes », </w:t>
      </w:r>
      <w:r>
        <w:rPr>
          <w:rFonts w:ascii="Twentieth Century" w:hAnsi="Twentieth Century" w:eastAsia="Twentieth Century" w:cs="Twentieth Century"/>
          <w:sz w:val="24"/>
          <w:szCs w:val="24"/>
        </w:rPr>
        <w:t xml:space="preserve">constitue un garde-fou essentiel pour garantir que l’utilisation durable soit véritablement durable.</w:t>
      </w:r>
    </w:p>
    <w:p w:rsidR="009C0A0D" w:rsidRDefault="00000000" w14:paraId="573A92A5" w14:textId="77777777">
      <w:pPr>
        <w:numPr>
          <w:ilvl w:val="0"/>
          <w:numId w:val="1"/>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70C0"/>
          <w:sz w:val="24"/>
          <w:szCs w:val="24"/>
        </w:rPr>
        <w:t xml:space="preserve">Modifier </w:t>
      </w:r>
      <w:r>
        <w:rPr>
          <w:rFonts w:ascii="Twentieth Century" w:hAnsi="Twentieth Century" w:eastAsia="Twentieth Century" w:cs="Twentieth Century"/>
          <w:color w:val="0070C0"/>
          <w:sz w:val="24"/>
          <w:szCs w:val="24"/>
        </w:rPr>
        <w:t xml:space="preserve">le texte afin d’ajouter le consentement libre, préalable et éclairé (FPIC) dans l’OP2</w:t>
      </w:r>
      <w:r>
        <w:rPr>
          <w:rFonts w:ascii="Twentieth Century" w:hAnsi="Twentieth Century" w:eastAsia="Twentieth Century" w:cs="Twentieth Century"/>
          <w:color w:val="00B050"/>
          <w:sz w:val="24"/>
          <w:szCs w:val="24"/>
        </w:rPr>
        <w:t xml:space="preserve">. </w:t>
      </w:r>
      <w:r>
        <w:rPr>
          <w:rFonts w:ascii="Twentieth Century" w:hAnsi="Twentieth Century" w:eastAsia="Twentieth Century" w:cs="Twentieth Century"/>
          <w:sz w:val="24"/>
          <w:szCs w:val="24"/>
        </w:rPr>
        <w:t xml:space="preserve">Le paragraphe 23 des orientations mondiales volontaires sur la gestion durable de la faune sauvage mentionne explicitement que les processus décisionnels doivent être guidés par </w:t>
      </w:r>
      <w:r>
        <w:rPr>
          <w:rFonts w:ascii="Twentieth Century" w:hAnsi="Twentieth Century" w:eastAsia="Twentieth Century" w:cs="Twentieth Century"/>
          <w:sz w:val="24"/>
          <w:szCs w:val="24"/>
        </w:rPr>
        <w:t xml:space="preserve">le consentement </w:t>
      </w:r>
      <w:r>
        <w:rPr>
          <w:rFonts w:ascii="Twentieth Century" w:hAnsi="Twentieth Century" w:eastAsia="Twentieth Century" w:cs="Twentieth Century"/>
          <w:sz w:val="24"/>
          <w:szCs w:val="24"/>
        </w:rPr>
        <w:t xml:space="preserve">libre, préalable et éclairé</w:t>
      </w: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 </w:t>
      </w:r>
      <w:r>
        <w:rPr>
          <w:rFonts w:ascii="Twentieth Century" w:hAnsi="Twentieth Century" w:eastAsia="Twentieth Century" w:cs="Twentieth Century"/>
          <w:sz w:val="24"/>
          <w:szCs w:val="24"/>
        </w:rPr>
        <w:t xml:space="preserve">, </w:t>
      </w:r>
      <w:r>
        <w:rPr>
          <w:rFonts w:ascii="Twentieth Century" w:hAnsi="Twentieth Century" w:eastAsia="Twentieth Century" w:cs="Twentieth Century"/>
          <w:sz w:val="24"/>
          <w:szCs w:val="24"/>
        </w:rPr>
        <w:t xml:space="preserve">comme suit : </w:t>
      </w:r>
      <w:r>
        <w:rPr>
          <w:rFonts w:ascii="Twentieth Century" w:hAnsi="Twentieth Century" w:eastAsia="Twentieth Century" w:cs="Twentieth Century"/>
          <w:i/>
          <w:iCs/>
          <w:sz w:val="24"/>
          <w:szCs w:val="24"/>
        </w:rPr>
        <w:t xml:space="preserve">« 23. Les processus décisionnels ayant une incidence sur l’utilisation et la gestion de la faune sauvage devraient être guidés par le principe du consentement libre, préalable et éclairé (FPIC), garantissant que les peuples autochtones et les communautés locales puissent participer efficacement et prendre des décisions éclairées tout au long des processus de planification, de mise en œuvre, de suivi et d’évaluation. » </w:t>
      </w:r>
      <w:r>
        <w:rPr>
          <w:rFonts w:ascii="Twentieth Century" w:hAnsi="Twentieth Century" w:eastAsia="Twentieth Century" w:cs="Twentieth Century"/>
          <w:sz w:val="24"/>
          <w:szCs w:val="24"/>
        </w:rPr>
        <w:t xml:space="preserve">Une référence spécifique au FPIC dans le contexte du paragraphe opérationnel 2 permettrait d’intégrer ce concept important dans la décision de la CoP. </w:t>
      </w:r>
    </w:p>
    <w:p w:rsidR="009C0A0D" w:rsidRDefault="009C0A0D" w14:paraId="7D1898FB"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3B1DB9B" w14:textId="77777777">
      <w:pPr>
        <w:pStyle w:val="Heading1"/>
        <w:rPr>
          <w:shd w:val="clear" w:color="auto" w:fill="C6C6C6"/>
        </w:rPr>
      </w:pPr>
      <w:bookmarkStart w:name="_wgymsuqvv2tw" w:colFirst="0" w:colLast="0" w:id="10"/>
      <w:bookmarkEnd w:id="10"/>
      <w:r>
        <w:t xml:space="preserve">Point 18(d) de l’ordre du jour : « Biodiversité et santé » </w:t>
      </w:r>
    </w:p>
    <w:p w:rsidR="009C0A0D" w:rsidRDefault="00000000" w14:paraId="49429DE7"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Projet de décision de la CoP17 : </w:t>
      </w:r>
      <w:hyperlink r:id="rId31">
        <w:r>
          <w:rPr>
            <w:rFonts w:ascii="Twentieth Century" w:hAnsi="Twentieth Century" w:eastAsia="Twentieth Century" w:cs="Twentieth Century"/>
            <w:i/>
            <w:iCs/>
            <w:color w:val="0563C1"/>
            <w:sz w:val="24"/>
            <w:szCs w:val="24"/>
            <w:u w:val="single"/>
          </w:rPr>
          <w:t xml:space="preserve">SBSTTA/REC/27/10</w:t>
        </w:r>
      </w:hyperlink>
      <w:r>
        <w:rPr>
          <w:rFonts w:ascii="Twentieth Century" w:hAnsi="Twentieth Century" w:eastAsia="Twentieth Century" w:cs="Twentieth Century"/>
          <w:sz w:val="24"/>
          <w:szCs w:val="24"/>
          <w:shd w:val="clear" w:color="auto" w:fill="C6C6C6"/>
        </w:rPr>
        <w:t xml:space="preserve"> </w:t>
      </w:r>
    </w:p>
    <w:p w:rsidR="009C0A0D" w:rsidRDefault="00000000" w14:paraId="1BB08388"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Rapport d’étape du Secrétariat de la CDB sur la biodiversité et la santé : </w:t>
      </w:r>
      <w:hyperlink r:id="rId32">
        <w:r>
          <w:rPr>
            <w:rFonts w:ascii="Twentieth Century" w:hAnsi="Twentieth Century" w:eastAsia="Twentieth Century" w:cs="Twentieth Century"/>
            <w:i/>
            <w:iCs/>
            <w:color w:val="0070C0"/>
            <w:sz w:val="24"/>
            <w:szCs w:val="24"/>
            <w:u w:val="single"/>
          </w:rPr>
          <w:t xml:space="preserve">COP/17/7</w:t>
        </w:r>
      </w:hyperlink>
    </w:p>
    <w:p w:rsidR="009C0A0D" w:rsidRDefault="00000000" w14:paraId="5DB2BF5D"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D642D26" w14:textId="77777777">
      <w:pPr>
        <w:shd w:val="clear" w:color="auto" w:fill="FFFFFF"/>
        <w:spacing w:line="240" w:lineRule="auto"/>
        <w:rPr>
          <w:rFonts w:ascii="Twentieth Century" w:hAnsi="Twentieth Century" w:eastAsia="Twentieth Century" w:cs="Twentieth Century"/>
          <w:i/>
          <w:iCs/>
          <w:color w:val="999999"/>
        </w:rPr>
      </w:pPr>
      <w:r>
        <w:rPr>
          <w:rFonts w:ascii="Twentieth Century" w:hAnsi="Twentieth Century" w:eastAsia="Twentieth Century" w:cs="Twentieth Century"/>
          <w:i/>
          <w:iCs/>
          <w:color w:val="999999"/>
        </w:rPr>
        <w:t xml:space="preserve">Remarque : un document d’une page concernant la liste des indicateurs compilés à l’annexe II du document 17/7 sera mis à disposition sur</w:t>
      </w:r>
      <w:hyperlink r:id="rId33">
        <w:r>
          <w:rPr>
            <w:rFonts w:ascii="Twentieth Century" w:hAnsi="Twentieth Century" w:eastAsia="Twentieth Century" w:cs="Twentieth Century"/>
            <w:i/>
            <w:iCs/>
            <w:color w:val="999999"/>
            <w:u w:val="single"/>
          </w:rPr>
          <w:t xml:space="preserve"> wcs.org/cbd</w:t>
        </w:r>
      </w:hyperlink>
      <w:r>
        <w:rPr>
          <w:rFonts w:ascii="Twentieth Century" w:hAnsi="Twentieth Century" w:eastAsia="Twentieth Century" w:cs="Twentieth Century"/>
          <w:i/>
          <w:iCs/>
          <w:color w:val="999999"/>
        </w:rPr>
        <w:t xml:space="preserve">. Toutefois, nous reconnaissons la nécessité et soutenons l’organisation d’un atelier d’experts avant la prochaine réunion du SBSTTA en 2027/2028. </w:t>
      </w:r>
    </w:p>
    <w:p w:rsidR="009C0A0D" w:rsidRDefault="009C0A0D" w14:paraId="7724E6E3"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DBA9BB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ce qui concerne le projet de décision de la CoP17, nous recommandons aux Parties : </w:t>
      </w:r>
    </w:p>
    <w:p w:rsidR="009C0A0D" w:rsidRDefault="009C0A0D" w14:paraId="5AF54C2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0F7700E9"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Conservent </w:t>
      </w:r>
      <w:r>
        <w:rPr>
          <w:rFonts w:ascii="Twentieth Century" w:hAnsi="Twentieth Century" w:eastAsia="Twentieth Century" w:cs="Twentieth Century"/>
          <w:color w:val="00B050"/>
          <w:sz w:val="24"/>
          <w:szCs w:val="24"/>
        </w:rPr>
        <w:t xml:space="preserve">[en supprimant les crochets] le texte du paragraphe 2 de l’ordre du jour (OP2) saluant l’Accord de l’OMS sur la prévention, la préparation et la réponse aux pandémies. </w:t>
      </w:r>
      <w:r>
        <w:rPr>
          <w:rFonts w:ascii="Twentieth Century" w:hAnsi="Twentieth Century" w:eastAsia="Twentieth Century" w:cs="Twentieth Century"/>
          <w:sz w:val="24"/>
          <w:szCs w:val="24"/>
        </w:rPr>
        <w:t xml:space="preserve">L’adoption de l’Accord de l’OMS constitue un accord historique ayant des implications significatives pour la gestion de la biodiversité </w:t>
      </w:r>
      <w:r>
        <w:rPr>
          <w:rFonts w:ascii="Twentieth Century" w:hAnsi="Twentieth Century" w:eastAsia="Twentieth Century" w:cs="Twentieth Century"/>
          <w:sz w:val="24"/>
          <w:szCs w:val="24"/>
        </w:rPr>
        <w:t xml:space="preserve">en vue de </w:t>
      </w:r>
      <w:r>
        <w:rPr>
          <w:rFonts w:ascii="Twentieth Century" w:hAnsi="Twentieth Century" w:eastAsia="Twentieth Century" w:cs="Twentieth Century"/>
          <w:sz w:val="24"/>
          <w:szCs w:val="24"/>
        </w:rPr>
        <w:t xml:space="preserve">prévenir la prochaine pandémie d’origine zoonotique. Le Plan d’action mondial a été conçu pour être compatible et complémentaire des activités envisagées dans le cadre de l’Accord de l’OMS. Toutefois, un dialogue accru et un soutien renforcé aux Parties sont essentiels pour garantir que les stratégies liées à la biodiversité ou pertinentes en matière de prévention à la source, ou de prévention en profondeur, soient intégrées dans les stratégies et plans nationaux « One Health ».</w:t>
      </w:r>
    </w:p>
    <w:p w:rsidR="009C0A0D" w:rsidRDefault="00000000" w14:paraId="636A9979" w14:textId="77777777">
      <w:pPr>
        <w:numPr>
          <w:ilvl w:val="0"/>
          <w:numId w:val="2"/>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B050"/>
          <w:sz w:val="24"/>
          <w:szCs w:val="24"/>
        </w:rPr>
        <w:t xml:space="preserve">Conserver </w:t>
      </w:r>
      <w:r>
        <w:rPr>
          <w:rFonts w:ascii="Twentieth Century" w:hAnsi="Twentieth Century" w:eastAsia="Twentieth Century" w:cs="Twentieth Century"/>
          <w:color w:val="00B050"/>
          <w:sz w:val="24"/>
          <w:szCs w:val="24"/>
        </w:rPr>
        <w:t xml:space="preserve">[supprimer les crochets autour de] le texte du paragraphe 7 de l’ordre du jour (OP7), en particulier dans l’alinéa sans crochets qui demande au Secrétariat de synthétiser les informations fournies par les Parties concernant la mise en œuvre du Plan d’action mondial et l’intégration des liens entre biodiversité et santé.</w:t>
      </w:r>
      <w:r>
        <w:rPr>
          <w:rFonts w:ascii="Twentieth Century" w:hAnsi="Twentieth Century" w:eastAsia="Twentieth Century" w:cs="Twentieth Century"/>
          <w:sz w:val="24"/>
          <w:szCs w:val="24"/>
        </w:rPr>
        <w:t xml:space="preserve"> Il n’existe aucun mécanisme officiel de rapport pour le Plan d’action mondial, et il s’agit là d’une étape intermédiaire cruciale jusqu’à ce que les indicateurs et les mesures puissent être mieux intégrés dans la mise en œuvre du KM-GBF et dans le cycle de planification, de suivi, de rapport et d’examen. </w:t>
      </w:r>
    </w:p>
    <w:sectPr w:rsidR="009C0A0D">
      <w:headerReference w:type="default" r:id="rId34"/>
      <w:headerReference w:type="first" r:id="rId3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75FC" w:rsidRDefault="003D75FC" w14:paraId="536E82BA" w14:textId="77777777">
      <w:pPr>
        <w:spacing w:line="240" w:lineRule="auto"/>
      </w:pPr>
      <w:r>
        <w:separator/>
      </w:r>
    </w:p>
  </w:endnote>
  <w:endnote w:type="continuationSeparator" w:id="0">
    <w:p w:rsidR="003D75FC" w:rsidRDefault="003D75FC" w14:paraId="1C54FB3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embedRegular r:id="rId1" w:fontKey="{2E14507B-7A16-C849-95F1-BA2CED573463}"/>
  </w:font>
  <w:font w:name="Times New Roman">
    <w:panose1 w:val="02020603050405020304"/>
    <w:charset w:val="00"/>
    <w:family w:val="roman"/>
    <w:pitch w:val="variable"/>
    <w:sig w:usb0="E0002EFF" w:usb1="C000785B" w:usb2="00000009" w:usb3="00000000" w:csb0="000001FF" w:csb1="00000000"/>
    <w:embedRegular r:id="rId2" w:fontKey="{89764957-54A2-C34C-8AE6-4E7942CF2D24}"/>
  </w:font>
  <w:font w:name="Arial">
    <w:panose1 w:val="020B0604020202020204"/>
    <w:charset w:val="00"/>
    <w:family w:val="swiss"/>
    <w:pitch w:val="variable"/>
    <w:sig w:usb0="E0002AFF" w:usb1="C0007843" w:usb2="00000009" w:usb3="00000000" w:csb0="000001FF" w:csb1="00000000"/>
    <w:embedRegular r:id="rId3" w:fontKey="{7C1987C3-A418-EE48-9462-BC0A0C668178}"/>
    <w:embedItalic r:id="rId4" w:fontKey="{55164545-9D5B-374A-9234-1DCDF06E6C7A}"/>
  </w:font>
  <w:font w:name="Twentieth Century">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41F8F5F5-BDCF-A441-9025-F7D66A2868B0}"/>
  </w:font>
  <w:font w:name="Cambria">
    <w:panose1 w:val="02040503050406030204"/>
    <w:charset w:val="00"/>
    <w:family w:val="roman"/>
    <w:pitch w:val="variable"/>
    <w:sig w:usb0="E00006FF" w:usb1="420024FF" w:usb2="02000000" w:usb3="00000000" w:csb0="0000019F" w:csb1="00000000"/>
    <w:embedRegular r:id="rId9" w:fontKey="{FF509B26-167D-344A-ADEF-C5EDB62C5F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75FC" w:rsidRDefault="003D75FC" w14:paraId="09D12794" w14:textId="77777777">
      <w:pPr>
        <w:spacing w:line="240" w:lineRule="auto"/>
      </w:pPr>
      <w:r>
        <w:separator/>
      </w:r>
    </w:p>
  </w:footnote>
  <w:footnote w:type="continuationSeparator" w:id="0">
    <w:p w:rsidR="003D75FC" w:rsidRDefault="003D75FC" w14:paraId="5BD43C1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C0A0D" w:rsidRDefault="00000000" w14:paraId="15151F6B" w14:textId="77777777">
    <w:pPr>
      <w:rPr>
        <w:rFonts w:ascii="Twentieth Century" w:hAnsi="Twentieth Century" w:eastAsia="Twentieth Century" w:cs="Twentieth Century"/>
        <w:color w:val="F9CB9C"/>
      </w:rPr>
    </w:pPr>
    <w:r>
      <w:rPr>
        <w:rFonts w:ascii="Twentieth Century" w:hAnsi="Twentieth Century" w:eastAsia="Twentieth Century" w:cs="Twentieth Century"/>
        <w:color w:val="F9CB9C"/>
      </w:rPr>
      <w:t xml:space="preserve">Mise à jour : 9 septembre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3444C9" w:rsidR="009C0A0D" w:rsidRDefault="003444C9" w14:paraId="02436478" w14:textId="2C70A13A">
    <w:pPr>
      <w:rPr>
        <w:rFonts w:ascii="Twentieth Century" w:hAnsi="Twentieth Century" w:eastAsia="Twentieth Century" w:cs="Twentieth Century"/>
        <w:color w:val="F9CB9C"/>
      </w:rPr>
    </w:pPr>
    <w:r w:rsidRPr="003444C9">
      <w:rPr>
        <w:rFonts w:ascii="Twentieth Century" w:hAnsi="Twentieth Century" w:eastAsia="Twentieth Century" w:cs="Twentieth Century"/>
        <w:color w:val="D99594" w:themeColor="accent2" w:themeTint="99"/>
      </w:rPr>
      <w:t xml:space="preserve">TRADUCTION AUTOMATIQUE </w:t>
    </w:r>
    <w:r>
      <w:rPr>
        <w:rFonts w:ascii="Twentieth Century" w:hAnsi="Twentieth Century" w:eastAsia="Twentieth Century" w:cs="Twentieth Century"/>
        <w:color w:val="F9CB9C"/>
      </w:rPr>
      <w:t xml:space="preserve">-- </w:t>
    </w:r>
    <w:r w:rsidR="00000000">
      <w:rPr>
        <w:rFonts w:ascii="Twentieth Century" w:hAnsi="Twentieth Century" w:eastAsia="Twentieth Century" w:cs="Twentieth Century"/>
        <w:color w:val="F9CB9C"/>
      </w:rPr>
      <w:t xml:space="preserve">Mise à jour : 30 septembre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9B1ED7"/>
    <w:multiLevelType w:val="multilevel"/>
    <w:tmpl w:val="8918EAA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7E3352"/>
    <w:multiLevelType w:val="multilevel"/>
    <w:tmpl w:val="0C0A3702"/>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9666910">
    <w:abstractNumId w:val="0"/>
  </w:num>
  <w:num w:numId="2" w16cid:durableId="3901592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0D"/>
    <w:rsid w:val="003444C9"/>
    <w:rsid w:val="003D75FC"/>
    <w:rsid w:val="009C0A0D"/>
    <w:rsid w:val="009F68D8"/>
    <w:rsid w:val="00D05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DA2E"/>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444C9"/>
    <w:pPr>
      <w:tabs>
        <w:tab w:val="center" w:pos="4680"/>
        <w:tab w:val="right" w:pos="9360"/>
      </w:tabs>
      <w:spacing w:line="240" w:lineRule="auto"/>
    </w:pPr>
  </w:style>
  <w:style w:type="character" w:customStyle="1" w:styleId="HeaderChar">
    <w:name w:val="Header Char"/>
    <w:basedOn w:val="DefaultParagraphFont"/>
    <w:link w:val="Header"/>
    <w:uiPriority w:val="99"/>
    <w:rsid w:val="003444C9"/>
  </w:style>
  <w:style w:type="paragraph" w:styleId="Footer">
    <w:name w:val="footer"/>
    <w:basedOn w:val="Normal"/>
    <w:link w:val="FooterChar"/>
    <w:uiPriority w:val="99"/>
    <w:unhideWhenUsed/>
    <w:rsid w:val="003444C9"/>
    <w:pPr>
      <w:tabs>
        <w:tab w:val="center" w:pos="4680"/>
        <w:tab w:val="right" w:pos="9360"/>
      </w:tabs>
      <w:spacing w:line="240" w:lineRule="auto"/>
    </w:pPr>
  </w:style>
  <w:style w:type="character" w:customStyle="1" w:styleId="FooterChar">
    <w:name w:val="Footer Char"/>
    <w:basedOn w:val="DefaultParagraphFont"/>
    <w:link w:val="Footer"/>
    <w:uiPriority w:val="99"/>
    <w:rsid w:val="003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bd.int/doc/recommendations/sbi-07/sbi-07-rec-01-en.pdf" TargetMode="External"/><Relationship Id="rId18" Type="http://schemas.openxmlformats.org/officeDocument/2006/relationships/hyperlink" Target="https://iucn.org/resources/grey-literature/improving-outcome-based-effectiveness-assessments-protected-and-conserved" TargetMode="External"/><Relationship Id="rId26" Type="http://schemas.openxmlformats.org/officeDocument/2006/relationships/hyperlink" Target="https://www.cbd.int/doc/c/6f97/2c4f/c563b5e0b7eb92cb427f1634/cop-17-11-en.pdf" TargetMode="External"/><Relationship Id="rId21" Type="http://schemas.openxmlformats.org/officeDocument/2006/relationships/hyperlink" Target="https://www.cbd.int/doc/c/6f97/2c4f/c563b5e0b7eb92cb427f1634/cop-17-11-en.pdf"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bd.int/doc/recommendations/sbi-07/sbi-07-rec-03-en.pdf" TargetMode="External"/><Relationship Id="rId17" Type="http://schemas.openxmlformats.org/officeDocument/2006/relationships/hyperlink" Target="https://www.cbd.int/doc/recommendations/sbi-07/sbi-07-rec-01-en.pdf" TargetMode="External"/><Relationship Id="rId25" Type="http://schemas.openxmlformats.org/officeDocument/2006/relationships/hyperlink" Target="https://www.cbd.int/doc/recommendations/sbstta-27/sbstta-27-rec-03-en.pdf" TargetMode="External"/><Relationship Id="rId33" Type="http://schemas.openxmlformats.org/officeDocument/2006/relationships/hyperlink" Target="http://wcs.org/cbd" TargetMode="External"/><Relationship Id="rId2" Type="http://schemas.openxmlformats.org/officeDocument/2006/relationships/styles" Target="styles.xml"/><Relationship Id="rId16" Type="http://schemas.openxmlformats.org/officeDocument/2006/relationships/hyperlink" Target="https://womenoceanguardians.org/" TargetMode="External"/><Relationship Id="rId20" Type="http://schemas.openxmlformats.org/officeDocument/2006/relationships/hyperlink" Target="https://www.cbd.int/doc/c/6f97/2c4f/c563b5e0b7eb92cb427f1634/cop-17-11-en.pdf" TargetMode="External"/><Relationship Id="rId29" Type="http://schemas.openxmlformats.org/officeDocument/2006/relationships/hyperlink" Target="https://s3.amazonaws.com/km.documents.attachments/33d9/402c/e0bb3caf043664a5f3c968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7/sbi-07-rec-02-en.pdf" TargetMode="External"/><Relationship Id="rId24" Type="http://schemas.openxmlformats.org/officeDocument/2006/relationships/hyperlink" Target="https://newsroom.wcs.org/News-Releases/articleType/ArticleView/articleId/26071/73-of-the-Worlds-Ocean-Protected-Areas-Are-Polluted-by-Sewage.aspx" TargetMode="External"/><Relationship Id="rId32" Type="http://schemas.openxmlformats.org/officeDocument/2006/relationships/hyperlink" Target="https://www.cbd.int/doc/c/8bcf/56e0/8f1260e34fb25479b9aed2c6/cop-17-07-en.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enodo.org/records/17653674" TargetMode="External"/><Relationship Id="rId23" Type="http://schemas.openxmlformats.org/officeDocument/2006/relationships/hyperlink" Target="https://www.cbd.int/doc/recommendations/sbstta-27/sbstta-27-rec-06-en.pdf" TargetMode="External"/><Relationship Id="rId28" Type="http://schemas.openxmlformats.org/officeDocument/2006/relationships/hyperlink" Target="https://s3.amazonaws.com/km.documents.attachments/1137/7f23/e7da2c596e0c73d2029517a6" TargetMode="External"/><Relationship Id="rId36" Type="http://schemas.openxmlformats.org/officeDocument/2006/relationships/fontTable" Target="fontTable.xml"/><Relationship Id="rId10" Type="http://schemas.openxmlformats.org/officeDocument/2006/relationships/hyperlink" Target="https://www.cbd.int/doc/c/1184/2cd3/45b33416ff90ca3353c32b3e/sbi-07-15-en.pdf" TargetMode="External"/><Relationship Id="rId19" Type="http://schemas.openxmlformats.org/officeDocument/2006/relationships/hyperlink" Target="https://www.cbd.int/doc/recommendations/sbi-06/sbi-06-rec-06-en.pdf" TargetMode="External"/><Relationship Id="rId31" Type="http://schemas.openxmlformats.org/officeDocument/2006/relationships/hyperlink" Target="https://www.cbd.int/doc/recommendations/sbstta-27/sbstta-27-rec-10-en.pdf" TargetMode="External"/><Relationship Id="rId4" Type="http://schemas.openxmlformats.org/officeDocument/2006/relationships/webSettings" Target="webSettings.xml"/><Relationship Id="rId9" Type="http://schemas.openxmlformats.org/officeDocument/2006/relationships/hyperlink" Target="mailto:adegemmis@wcs.org" TargetMode="External"/><Relationship Id="rId14" Type="http://schemas.openxmlformats.org/officeDocument/2006/relationships/hyperlink" Target="https://conbio.onlinelibrary.wiley.com/doi/10.1111/csp2.70189" TargetMode="External"/><Relationship Id="rId22" Type="http://schemas.openxmlformats.org/officeDocument/2006/relationships/hyperlink" Target="https://www.cbd.int/doc/recommendations/sbstta-28/sbstta-28-rec-05-en.pdf" TargetMode="External"/><Relationship Id="rId27" Type="http://schemas.openxmlformats.org/officeDocument/2006/relationships/hyperlink" Target="https://s3.amazonaws.com/km.documents.attachments/13c9/9291/fb58393780165ad2bf34abff" TargetMode="External"/><Relationship Id="rId30" Type="http://schemas.openxmlformats.org/officeDocument/2006/relationships/hyperlink" Target="https://www.cbd.int/doc/recommendations/sbstta-28/sbstta-28-rec-04-en.pdf" TargetMode="External"/><Relationship Id="rId35" Type="http://schemas.openxmlformats.org/officeDocument/2006/relationships/header" Target="header2.xml"/><Relationship Id="rId8" Type="http://schemas.openxmlformats.org/officeDocument/2006/relationships/hyperlink" Target="http://www.wcs.org"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3218</Words>
  <Characters>18346</Characters>
  <Application>Microsoft Office Word</Application>
  <DocSecurity>0</DocSecurity>
  <Lines>152</Lines>
  <Paragraphs>43</Paragraphs>
  <ScaleCrop>false</ScaleCrop>
  <Company/>
  <LinksUpToDate>false</LinksUpToDate>
  <CharactersWithSpaces>21521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3</revision>
  <dcterms:created xsi:type="dcterms:W3CDTF">2026-10-01T17:01:00.0000000Z</dcterms:created>
  <dcterms:modified xsi:type="dcterms:W3CDTF">2026-10-01T17:01:00.0000000Z</dcterms:modified>
  <keywords>, docId:17DA4B123E09DFC5F98A04C2BFDBFC9C</keywords>
</coreProperties>
</file>