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9C0A0D" w:rsidRDefault="009F68D8" w14:paraId="3516FAC1" w14:textId="18F36CDC">
      <w:pPr>
        <w:shd w:val="clear" w:color="auto" w:fill="FFFFFF"/>
        <w:spacing w:line="240" w:lineRule="auto"/>
        <w:rPr>
          <w:rFonts w:ascii="Twentieth Century" w:hAnsi="Twentieth Century" w:eastAsia="Twentieth Century" w:cs="Twentieth Century"/>
          <w:sz w:val="32"/>
          <w:szCs w:val="32"/>
          <w:shd w:val="clear" w:color="auto" w:fill="C6C6C6"/>
        </w:rPr>
      </w:pPr>
      <w:r>
        <w:rPr>
          <w:noProof/>
        </w:rPr>
        <w:drawing>
          <wp:anchor distT="0" distB="0" distL="114300" distR="114300" simplePos="0" relativeHeight="251659264" behindDoc="0" locked="0" layoutInCell="1" hidden="0" allowOverlap="1" wp14:editId="4EA7450E" wp14:anchorId="4E76EB11">
            <wp:simplePos x="0" y="0"/>
            <wp:positionH relativeFrom="column">
              <wp:posOffset>3973286</wp:posOffset>
            </wp:positionH>
            <wp:positionV relativeFrom="paragraph">
              <wp:posOffset>-141514</wp:posOffset>
            </wp:positionV>
            <wp:extent cx="1815465" cy="64751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815465" cy="647510"/>
                    </a:xfrm>
                    <a:prstGeom prst="rect">
                      <a:avLst/>
                    </a:prstGeom>
                    <a:ln/>
                  </pic:spPr>
                </pic:pic>
              </a:graphicData>
            </a:graphic>
            <wp14:sizeRelV relativeFrom="margin">
              <wp14:pctHeight>0</wp14:pctHeight>
            </wp14:sizeRelV>
          </wp:anchor>
        </w:drawing>
      </w:r>
      <w:r w:rsidR="00000000">
        <w:rPr>
          <w:rFonts w:ascii="Twentieth Century" w:hAnsi="Twentieth Century" w:eastAsia="Twentieth Century" w:cs="Twentieth Century"/>
          <w:b/>
          <w:bCs/>
          <w:sz w:val="32"/>
          <w:szCs w:val="32"/>
        </w:rPr>
        <w:t xml:space="preserve">Recomendaciones de la WCS para la COP 17 del CDB </w:t>
      </w:r>
    </w:p>
    <w:p w:rsidR="009C0A0D" w:rsidRDefault="009C0A0D" w14:paraId="4D9E9E9F" w14:textId="77777777">
      <w:pPr>
        <w:shd w:val="clear" w:color="auto" w:fill="FFFFFF"/>
        <w:spacing w:line="240" w:lineRule="auto"/>
        <w:rPr>
          <w:rFonts w:ascii="Twentieth Century" w:hAnsi="Twentieth Century" w:eastAsia="Twentieth Century" w:cs="Twentieth Century"/>
          <w:b/>
          <w:bCs/>
          <w:color w:val="B7B7B7"/>
          <w:sz w:val="2"/>
          <w:szCs w:val="2"/>
        </w:rPr>
      </w:pPr>
    </w:p>
    <w:p w:rsidR="009C0A0D" w:rsidRDefault="00000000" w14:paraId="593811CD" w14:textId="77777777">
      <w:pPr>
        <w:shd w:val="clear" w:color="auto" w:fill="FFFFFF"/>
        <w:spacing w:line="240" w:lineRule="auto"/>
        <w:rPr>
          <w:rFonts w:ascii="Twentieth Century" w:hAnsi="Twentieth Century" w:eastAsia="Twentieth Century" w:cs="Twentieth Century"/>
          <w:b/>
          <w:bCs/>
          <w:color w:val="B7B7B7"/>
          <w:sz w:val="26"/>
          <w:szCs w:val="26"/>
        </w:rPr>
      </w:pPr>
      <w:r>
        <w:rPr>
          <w:rFonts w:ascii="Twentieth Century" w:hAnsi="Twentieth Century" w:eastAsia="Twentieth Century" w:cs="Twentieth Century"/>
          <w:b/>
          <w:bCs/>
          <w:color w:val="B7B7B7"/>
          <w:sz w:val="26"/>
          <w:szCs w:val="26"/>
        </w:rPr>
        <w:t xml:space="preserve">Ereván, Armenia, del 19 al 30 de octubre de 2026</w:t>
      </w:r>
    </w:p>
    <w:p w:rsidR="009C0A0D" w:rsidRDefault="009C0A0D" w14:paraId="570FCFB8"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9C0A0D" w14:paraId="14A0B56A"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9C0A0D" w14:paraId="745C68BD"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000000" w14:paraId="182B1492" w14:textId="77777777">
      <w:pPr>
        <w:shd w:val="clear" w:color="auto" w:fill="FFFFFF"/>
        <w:spacing w:line="240" w:lineRule="auto"/>
        <w:rPr>
          <w:rFonts w:ascii="Twentieth Century" w:hAnsi="Twentieth Century" w:eastAsia="Twentieth Century" w:cs="Twentieth Century"/>
          <w:i/>
          <w:iCs/>
          <w:sz w:val="24"/>
          <w:szCs w:val="24"/>
        </w:rPr>
      </w:pPr>
      <w:hyperlink r:id="rId8">
        <w:r>
          <w:rPr>
            <w:rFonts w:ascii="Twentieth Century" w:hAnsi="Twentieth Century" w:eastAsia="Twentieth Century" w:cs="Twentieth Century"/>
            <w:i/>
            <w:iCs/>
            <w:color w:val="1155CC"/>
            <w:sz w:val="24"/>
            <w:szCs w:val="24"/>
            <w:u w:val="single"/>
          </w:rPr>
          <w:t xml:space="preserve">La WCS</w:t>
        </w:r>
      </w:hyperlink>
      <w:r>
        <w:rPr>
          <w:rFonts w:ascii="Twentieth Century" w:hAnsi="Twentieth Century" w:eastAsia="Twentieth Century" w:cs="Twentieth Century"/>
          <w:i/>
          <w:iCs/>
          <w:sz w:val="24"/>
          <w:szCs w:val="24"/>
        </w:rPr>
        <w:t xml:space="preserve"> contará con materiales adicionales de resumen que destacarán nuestra participación en la COP 17 del CDB. Este documento aborda específicamente el texto que las Partes negociarán como parte de la agenda formal. </w:t>
      </w:r>
      <w:r>
        <w:rPr>
          <w:rFonts w:ascii="Twentieth Century" w:hAnsi="Twentieth Century" w:eastAsia="Twentieth Century" w:cs="Twentieth Century"/>
          <w:i/>
          <w:iCs/>
          <w:sz w:val="24"/>
          <w:szCs w:val="24"/>
        </w:rPr>
        <w:t xml:space="preserve">Por favor, póngase en contacto con Alfred DeGemmis (</w:t>
      </w:r>
      <w:hyperlink r:id="rId9">
        <w:r>
          <w:rPr>
            <w:rFonts w:ascii="Twentieth Century" w:hAnsi="Twentieth Century" w:eastAsia="Twentieth Century" w:cs="Twentieth Century"/>
            <w:i/>
            <w:iCs/>
            <w:color w:val="1155CC"/>
            <w:sz w:val="24"/>
            <w:szCs w:val="24"/>
            <w:u w:val="single"/>
          </w:rPr>
          <w:t>adegemmis@wcs.org</w:t>
        </w:r>
      </w:hyperlink>
      <w:r>
        <w:rPr>
          <w:rFonts w:ascii="Twentieth Century" w:hAnsi="Twentieth Century" w:eastAsia="Twentieth Century" w:cs="Twentieth Century"/>
          <w:i/>
          <w:iCs/>
          <w:sz w:val="24"/>
          <w:szCs w:val="24"/>
        </w:rPr>
        <w:t xml:space="preserve"> ) en relación con estas recomendaciones. </w:t>
      </w:r>
    </w:p>
    <w:p w:rsidR="009C0A0D" w:rsidRDefault="009C0A0D" w14:paraId="47C0ECE5"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4F4CEE73"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Nuestros comentarios a continuación están en consonancia con las prioridades generales descritas en nuestro resumen de una página. </w:t>
      </w:r>
    </w:p>
    <w:p w:rsidR="009C0A0D" w:rsidRDefault="00000000" w14:paraId="556482C6"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0BF9CD56"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094702D5"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b/>
          <w:bCs/>
          <w:sz w:val="24"/>
          <w:szCs w:val="24"/>
        </w:rPr>
        <w:t xml:space="preserve">Enlaces rápidos, basados en la agenda de la CoP17:  </w:t>
      </w:r>
    </w:p>
    <w:p w:rsidR="009C0A0D" w:rsidRDefault="00000000" w14:paraId="04446DC3" w14:textId="77777777">
      <w:pPr>
        <w:shd w:val="clear" w:color="auto" w:fill="FFFFFF"/>
        <w:spacing w:line="240" w:lineRule="auto"/>
        <w:rPr>
          <w:rFonts w:ascii="Twentieth Century" w:hAnsi="Twentieth Century" w:eastAsia="Twentieth Century" w:cs="Twentieth Century"/>
          <w:sz w:val="21"/>
          <w:szCs w:val="21"/>
          <w:shd w:val="clear" w:color="auto" w:fill="C6C6C6"/>
        </w:rPr>
      </w:pPr>
      <w:r>
        <w:rPr>
          <w:rFonts w:ascii="Twentieth Century" w:hAnsi="Twentieth Century" w:eastAsia="Twentieth Century" w:cs="Twentieth Century"/>
          <w:sz w:val="21"/>
          <w:szCs w:val="21"/>
          <w:shd w:val="clear" w:color="auto" w:fill="C6C6C6"/>
        </w:rPr>
        <w:t xml:space="preserve"> </w:t>
      </w:r>
    </w:p>
    <w:p w:rsidR="009C0A0D" w:rsidRDefault="00000000" w14:paraId="50339726" w14:textId="77777777">
      <w:pPr>
        <w:shd w:val="clear" w:color="auto" w:fill="FFFFFF"/>
        <w:spacing w:line="240" w:lineRule="auto"/>
        <w:ind w:start="180"/>
        <w:rPr>
          <w:rFonts w:ascii="Twentieth Century" w:hAnsi="Twentieth Century" w:eastAsia="Twentieth Century" w:cs="Twentieth Century"/>
          <w:color w:val="0070C0"/>
          <w:sz w:val="24"/>
          <w:szCs w:val="24"/>
        </w:rPr>
      </w:pPr>
      <w:r>
        <w:rPr>
          <w:rFonts w:ascii="Twentieth Century" w:hAnsi="Twentieth Century" w:eastAsia="Twentieth Century" w:cs="Twentieth Century"/>
          <w:color w:val="0070C0"/>
          <w:sz w:val="24"/>
          <w:szCs w:val="24"/>
        </w:rPr>
        <w:t xml:space="preserve">7: </w:t>
      </w:r>
      <w:r>
        <w:rPr>
          <w:rFonts w:ascii="Twentieth Century" w:hAnsi="Twentieth Century" w:eastAsia="Twentieth Century" w:cs="Twentieth Century"/>
          <w:color w:val="0070C0"/>
          <w:sz w:val="24"/>
          <w:szCs w:val="24"/>
        </w:rPr>
        <w:tab/>
      </w:r>
      <w:hyperlink w:anchor="_q7ojxhr9e27g">
        <w:r>
          <w:rPr>
            <w:rFonts w:ascii="Twentieth Century" w:hAnsi="Twentieth Century" w:eastAsia="Twentieth Century" w:cs="Twentieth Century"/>
            <w:color w:val="0070C0"/>
            <w:sz w:val="24"/>
            <w:szCs w:val="24"/>
          </w:rPr>
          <w:t xml:space="preserve">Administración del Convenio sobre la Diversidad Biológica</w:t>
        </w:r>
      </w:hyperlink>
    </w:p>
    <w:p w:rsidR="009C0A0D" w:rsidRDefault="00000000" w14:paraId="663A6751"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aazxyk9a8tva">
        <w:r>
          <w:rPr>
            <w:rFonts w:ascii="Twentieth Century" w:hAnsi="Twentieth Century" w:eastAsia="Twentieth Century" w:cs="Twentieth Century"/>
            <w:color w:val="0070C0"/>
            <w:sz w:val="24"/>
            <w:szCs w:val="24"/>
          </w:rPr>
          <w:t xml:space="preserve">8a:</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Movilización de recursos </w:t>
        </w:r>
      </w:hyperlink>
    </w:p>
    <w:p w:rsidR="009C0A0D" w:rsidRDefault="00000000" w14:paraId="699A7872" w14:textId="77777777">
      <w:pPr>
        <w:shd w:val="clear" w:color="auto" w:fill="FFFFFF"/>
        <w:spacing w:line="240" w:lineRule="auto"/>
        <w:ind w:start="180"/>
        <w:rPr>
          <w:rFonts w:ascii="Twentieth Century" w:hAnsi="Twentieth Century" w:eastAsia="Twentieth Century" w:cs="Twentieth Century"/>
          <w:color w:val="0070C0"/>
          <w:sz w:val="24"/>
          <w:szCs w:val="24"/>
        </w:rPr>
      </w:pPr>
      <w:hyperlink w:anchor="_aazxyk9a8tva">
        <w:r>
          <w:rPr>
            <w:rFonts w:ascii="Twentieth Century" w:hAnsi="Twentieth Century" w:eastAsia="Twentieth Century" w:cs="Twentieth Century"/>
            <w:color w:val="0070C0"/>
            <w:sz w:val="24"/>
            <w:szCs w:val="24"/>
          </w:rPr>
          <w:t xml:space="preserve">8a:</w:t>
        </w:r>
        <w:r>
          <w:rPr>
            <w:rFonts w:ascii="Twentieth Century" w:hAnsi="Twentieth Century" w:eastAsia="Twentieth Century" w:cs="Twentieth Century"/>
            <w:color w:val="0070C0"/>
            <w:sz w:val="24"/>
            <w:szCs w:val="24"/>
          </w:rPr>
          <w:tab/>
        </w:r>
      </w:hyperlink>
      <w:hyperlink w:anchor="_b9ymn1mvtlvf">
        <w:r>
          <w:rPr>
            <w:rFonts w:ascii="Twentieth Century" w:hAnsi="Twentieth Century" w:eastAsia="Twentieth Century" w:cs="Twentieth Century"/>
            <w:color w:val="0070C0"/>
            <w:sz w:val="24"/>
            <w:szCs w:val="24"/>
          </w:rPr>
          <w:t xml:space="preserve">Mecanismo financiero</w:t>
        </w:r>
      </w:hyperlink>
    </w:p>
    <w:p w:rsidR="009C0A0D" w:rsidRDefault="00000000" w14:paraId="660BAE70" w14:textId="77777777">
      <w:pPr>
        <w:shd w:val="clear" w:color="auto" w:fill="FFFFFF"/>
        <w:spacing w:line="240" w:lineRule="auto"/>
        <w:ind w:start="180"/>
        <w:rPr>
          <w:rFonts w:ascii="Twentieth Century" w:hAnsi="Twentieth Century" w:eastAsia="Twentieth Century" w:cs="Twentieth Century"/>
          <w:color w:val="0070C0"/>
          <w:sz w:val="24"/>
          <w:szCs w:val="24"/>
        </w:rPr>
      </w:pPr>
      <w:hyperlink w:anchor="_bd98lc52bwrf">
        <w:r>
          <w:rPr>
            <w:rFonts w:ascii="Twentieth Century" w:hAnsi="Twentieth Century" w:eastAsia="Twentieth Century" w:cs="Twentieth Century"/>
            <w:color w:val="0070C0"/>
            <w:sz w:val="24"/>
            <w:szCs w:val="24"/>
          </w:rPr>
          <w:t xml:space="preserve">9a: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Revisión global del progreso colectivo en la implementación del KM-GBF</w:t>
        </w:r>
      </w:hyperlink>
    </w:p>
    <w:p w:rsidR="009C0A0D" w:rsidRDefault="00000000" w14:paraId="692FF6A5"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fi9rlyfsjwv0">
        <w:r>
          <w:rPr>
            <w:rFonts w:ascii="Twentieth Century" w:hAnsi="Twentieth Century" w:eastAsia="Twentieth Century" w:cs="Twentieth Century"/>
            <w:color w:val="0070C0"/>
            <w:sz w:val="24"/>
            <w:szCs w:val="24"/>
          </w:rPr>
          <w:t xml:space="preserve">9b: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Marco de seguimiento del KM-GBF</w:t>
        </w:r>
      </w:hyperlink>
      <w:hyperlink w:anchor="_fi9rlyfsjwv0">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701610B9"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8e8bffr3p28l">
        <w:r>
          <w:rPr>
            <w:rFonts w:ascii="Twentieth Century" w:hAnsi="Twentieth Century" w:eastAsia="Twentieth Century" w:cs="Twentieth Century"/>
            <w:color w:val="0070C0"/>
            <w:sz w:val="24"/>
            <w:szCs w:val="24"/>
          </w:rPr>
          <w:t xml:space="preserve">13: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Cooperación con organizaciones internacionales y otras convenciones</w:t>
        </w:r>
      </w:hyperlink>
      <w:hyperlink w:anchor="_8e8bffr3p28l">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198C81EB"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bvf9ngcc6ed0">
        <w:r>
          <w:rPr>
            <w:rFonts w:ascii="Twentieth Century" w:hAnsi="Twentieth Century" w:eastAsia="Twentieth Century" w:cs="Twentieth Century"/>
            <w:color w:val="0070C0"/>
            <w:sz w:val="24"/>
            <w:szCs w:val="24"/>
          </w:rPr>
          <w:t xml:space="preserve">17a: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Revisión estratégica y análisis de los </w:t>
        </w:r>
        <w:r>
          <w:rPr>
            <w:rFonts w:ascii="Twentieth Century" w:hAnsi="Twentieth Century" w:eastAsia="Twentieth Century" w:cs="Twentieth Century"/>
            <w:color w:val="0070C0"/>
            <w:sz w:val="24"/>
            <w:szCs w:val="24"/>
          </w:rPr>
          <w:t xml:space="preserve">programas </w:t>
        </w:r>
        <w:r>
          <w:rPr>
            <w:rFonts w:ascii="Twentieth Century" w:hAnsi="Twentieth Century" w:eastAsia="Twentieth Century" w:cs="Twentieth Century"/>
            <w:color w:val="0070C0"/>
            <w:sz w:val="24"/>
            <w:szCs w:val="24"/>
          </w:rPr>
          <w:t xml:space="preserve">de trabajo en el marco del CDB</w:t>
        </w:r>
      </w:hyperlink>
      <w:hyperlink w:anchor="_bvf9ngcc6ed0">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3E60DFD3"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55d2dkya2trc">
        <w:r>
          <w:rPr>
            <w:rFonts w:ascii="Twentieth Century" w:hAnsi="Twentieth Century" w:eastAsia="Twentieth Century" w:cs="Twentieth Century"/>
            <w:color w:val="0070C0"/>
            <w:sz w:val="24"/>
            <w:szCs w:val="24"/>
          </w:rPr>
          <w:t xml:space="preserve">17c: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Revisión estratégica y actualizaciones del </w:t>
        </w:r>
        <w:r>
          <w:rPr>
            <w:rFonts w:ascii="Twentieth Century" w:hAnsi="Twentieth Century" w:eastAsia="Twentieth Century" w:cs="Twentieth Century"/>
            <w:color w:val="0070C0"/>
            <w:sz w:val="24"/>
            <w:szCs w:val="24"/>
          </w:rPr>
          <w:t xml:space="preserve">programa </w:t>
        </w:r>
        <w:r>
          <w:rPr>
            <w:rFonts w:ascii="Twentieth Century" w:hAnsi="Twentieth Century" w:eastAsia="Twentieth Century" w:cs="Twentieth Century"/>
            <w:color w:val="0070C0"/>
            <w:sz w:val="24"/>
            <w:szCs w:val="24"/>
          </w:rPr>
          <w:t xml:space="preserve">de trabajo sobre áreas protegidas</w:t>
        </w:r>
      </w:hyperlink>
      <w:hyperlink w:anchor="_55d2dkya2trc">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2577781F"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fqnycii1cmkc">
        <w:r>
          <w:rPr>
            <w:rFonts w:ascii="Twentieth Century" w:hAnsi="Twentieth Century" w:eastAsia="Twentieth Century" w:cs="Twentieth Century"/>
            <w:color w:val="0070C0"/>
            <w:sz w:val="24"/>
            <w:szCs w:val="24"/>
          </w:rPr>
          <w:t xml:space="preserve">17d: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Áreas de posible trabajo adicional en el contexto del Marco</w:t>
        </w:r>
      </w:hyperlink>
      <w:hyperlink w:anchor="_fqnycii1cmkc">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73480843"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grh24veb2skd">
        <w:r>
          <w:rPr>
            <w:rFonts w:ascii="Twentieth Century" w:hAnsi="Twentieth Century" w:eastAsia="Twentieth Century" w:cs="Twentieth Century"/>
            <w:color w:val="0070C0"/>
            <w:sz w:val="24"/>
            <w:szCs w:val="24"/>
          </w:rPr>
          <w:t xml:space="preserve">18a: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Biodiversidad y cambio climático</w:t>
        </w:r>
      </w:hyperlink>
      <w:hyperlink w:anchor="_grh24veb2skd">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2D71EBBA"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k6m2qky3qvb7">
        <w:r>
          <w:rPr>
            <w:rFonts w:ascii="Twentieth Century" w:hAnsi="Twentieth Century" w:eastAsia="Twentieth Century" w:cs="Twentieth Century"/>
            <w:color w:val="0070C0"/>
            <w:sz w:val="24"/>
            <w:szCs w:val="24"/>
          </w:rPr>
          <w:t xml:space="preserve">18b: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Gestión sostenible de la vida silvestre</w:t>
        </w:r>
      </w:hyperlink>
      <w:hyperlink w:anchor="_k6m2qky3qvb7">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066CFBF1" w14:textId="77777777">
      <w:pPr>
        <w:shd w:val="clear" w:color="auto" w:fill="FFFFFF"/>
        <w:spacing w:line="240" w:lineRule="auto"/>
        <w:ind w:start="180"/>
        <w:rPr>
          <w:rFonts w:ascii="Twentieth Century" w:hAnsi="Twentieth Century" w:eastAsia="Twentieth Century" w:cs="Twentieth Century"/>
          <w:color w:val="0070C0"/>
          <w:sz w:val="24"/>
          <w:szCs w:val="24"/>
          <w:shd w:val="clear" w:color="auto" w:fill="C6C6C6"/>
        </w:rPr>
      </w:pPr>
      <w:hyperlink w:anchor="_36f59doifjkz">
        <w:r>
          <w:rPr>
            <w:rFonts w:ascii="Twentieth Century" w:hAnsi="Twentieth Century" w:eastAsia="Twentieth Century" w:cs="Twentieth Century"/>
            <w:color w:val="0070C0"/>
            <w:sz w:val="24"/>
            <w:szCs w:val="24"/>
          </w:rPr>
          <w:t xml:space="preserve">18c: </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Biodiversidad marina y costera y biodiversidad insular</w:t>
        </w:r>
      </w:hyperlink>
      <w:hyperlink w:anchor="_36f59doifjkz">
        <w:r>
          <w:rPr>
            <w:rFonts w:ascii="Twentieth Century" w:hAnsi="Twentieth Century" w:eastAsia="Twentieth Century" w:cs="Twentieth Century"/>
            <w:color w:val="0070C0"/>
            <w:sz w:val="24"/>
            <w:szCs w:val="24"/>
            <w:shd w:val="clear" w:color="auto" w:fill="C6C6C6"/>
          </w:rPr>
          <w:t xml:space="preserve"> </w:t>
        </w:r>
      </w:hyperlink>
    </w:p>
    <w:p w:rsidR="009C0A0D" w:rsidRDefault="00000000" w14:paraId="1E09F6F6" w14:textId="77777777">
      <w:pPr>
        <w:shd w:val="clear" w:color="auto" w:fill="FFFFFF"/>
        <w:spacing w:line="240" w:lineRule="auto"/>
        <w:ind w:start="180"/>
        <w:rPr>
          <w:rFonts w:ascii="Twentieth Century" w:hAnsi="Twentieth Century" w:eastAsia="Twentieth Century" w:cs="Twentieth Century"/>
          <w:color w:val="0070C0"/>
          <w:sz w:val="23"/>
          <w:szCs w:val="23"/>
          <w:shd w:val="clear" w:color="auto" w:fill="C6C6C6"/>
        </w:rPr>
      </w:pPr>
      <w:hyperlink w:anchor="_wgymsuqvv2tw">
        <w:r>
          <w:rPr>
            <w:rFonts w:ascii="Twentieth Century" w:hAnsi="Twentieth Century" w:eastAsia="Twentieth Century" w:cs="Twentieth Century"/>
            <w:color w:val="0070C0"/>
            <w:sz w:val="24"/>
            <w:szCs w:val="24"/>
          </w:rPr>
          <w:t xml:space="preserve">18f:</w:t>
        </w:r>
        <w:r>
          <w:rPr>
            <w:rFonts w:ascii="Twentieth Century" w:hAnsi="Twentieth Century" w:eastAsia="Twentieth Century" w:cs="Twentieth Century"/>
            <w:color w:val="0070C0"/>
            <w:sz w:val="24"/>
            <w:szCs w:val="24"/>
          </w:rPr>
          <w:tab/>
        </w:r>
        <w:r>
          <w:rPr>
            <w:rFonts w:ascii="Twentieth Century" w:hAnsi="Twentieth Century" w:eastAsia="Twentieth Century" w:cs="Twentieth Century"/>
            <w:color w:val="0070C0"/>
            <w:sz w:val="24"/>
            <w:szCs w:val="24"/>
          </w:rPr>
          <w:t xml:space="preserve">Biodiversidad y salud </w:t>
        </w:r>
      </w:hyperlink>
      <w:hyperlink w:anchor="_wgymsuqvv2tw">
        <w:r>
          <w:rPr>
            <w:rFonts w:ascii="Twentieth Century" w:hAnsi="Twentieth Century" w:eastAsia="Twentieth Century" w:cs="Twentieth Century"/>
            <w:color w:val="0070C0"/>
            <w:sz w:val="23"/>
            <w:szCs w:val="23"/>
            <w:shd w:val="clear" w:color="auto" w:fill="C6C6C6"/>
          </w:rPr>
          <w:t xml:space="preserve"> </w:t>
        </w:r>
      </w:hyperlink>
    </w:p>
    <w:p w:rsidR="009C0A0D" w:rsidRDefault="00000000" w14:paraId="7F540DDC" w14:textId="77777777">
      <w:pPr>
        <w:shd w:val="clear" w:color="auto" w:fill="FFFFFF"/>
        <w:spacing w:line="240" w:lineRule="auto"/>
        <w:rPr>
          <w:rFonts w:ascii="Twentieth Century" w:hAnsi="Twentieth Century" w:eastAsia="Twentieth Century" w:cs="Twentieth Century"/>
          <w:sz w:val="20"/>
          <w:szCs w:val="20"/>
          <w:shd w:val="clear" w:color="auto" w:fill="C6C6C6"/>
        </w:rPr>
      </w:pPr>
      <w:r>
        <w:rPr>
          <w:rFonts w:ascii="Twentieth Century" w:hAnsi="Twentieth Century" w:eastAsia="Twentieth Century" w:cs="Twentieth Century"/>
          <w:sz w:val="20"/>
          <w:szCs w:val="20"/>
          <w:shd w:val="clear" w:color="auto" w:fill="C6C6C6"/>
        </w:rPr>
        <w:t xml:space="preserve"> </w:t>
      </w:r>
    </w:p>
    <w:p w:rsidR="009C0A0D" w:rsidRDefault="00000000" w14:paraId="56A4B099" w14:textId="77777777">
      <w:pPr>
        <w:shd w:val="clear" w:color="auto" w:fill="FFFFFF"/>
        <w:spacing w:line="240" w:lineRule="auto"/>
        <w:rPr>
          <w:rFonts w:ascii="Twentieth Century" w:hAnsi="Twentieth Century" w:eastAsia="Twentieth Century" w:cs="Twentieth Century"/>
          <w:sz w:val="20"/>
          <w:szCs w:val="20"/>
          <w:shd w:val="clear" w:color="auto" w:fill="C6C6C6"/>
        </w:rPr>
      </w:pPr>
      <w:r>
        <w:rPr>
          <w:rFonts w:ascii="Twentieth Century" w:hAnsi="Twentieth Century" w:eastAsia="Twentieth Century" w:cs="Twentieth Century"/>
          <w:sz w:val="20"/>
          <w:szCs w:val="20"/>
        </w:rPr>
        <w:t xml:space="preserve">--------- </w:t>
      </w:r>
    </w:p>
    <w:p w:rsidR="009C0A0D" w:rsidRDefault="00000000" w14:paraId="0717CB35"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9C0A0D" w14:paraId="36DB59C4"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180F7FCF" w14:textId="77777777">
      <w:pPr>
        <w:pStyle w:val="Heading1"/>
      </w:pPr>
      <w:bookmarkStart w:name="_q7ojxhr9e27g" w:colFirst="0" w:colLast="0" w:id="0"/>
      <w:bookmarkEnd w:id="0"/>
      <w:r>
        <w:t xml:space="preserve">Punto 7 del orden del día: «Administración del Convenio sobre la Diversidad Biológica…»</w:t>
      </w:r>
    </w:p>
    <w:p w:rsidR="009C0A0D" w:rsidRDefault="00000000" w14:paraId="25A6E63E"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Borrador actual de la decisión: </w:t>
      </w:r>
      <w:hyperlink r:id="rId10">
        <w:r>
          <w:rPr>
            <w:rFonts w:ascii="Twentieth Century" w:hAnsi="Twentieth Century" w:eastAsia="Twentieth Century" w:cs="Twentieth Century"/>
            <w:i/>
            <w:iCs/>
            <w:color w:val="1155CC"/>
            <w:sz w:val="24"/>
            <w:szCs w:val="24"/>
            <w:u w:val="single"/>
          </w:rPr>
          <w:t xml:space="preserve">CBD/COP/17/4</w:t>
        </w:r>
      </w:hyperlink>
    </w:p>
    <w:p w:rsidR="009C0A0D" w:rsidRDefault="009C0A0D" w14:paraId="0EDB9B4A"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19E1134B"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relación con el proyecto de decisión de la COP 17, una breve nota:</w:t>
      </w:r>
    </w:p>
    <w:p w:rsidR="009C0A0D" w:rsidRDefault="009C0A0D" w14:paraId="6AADDA91"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2AA6E0F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sz w:val="24"/>
          <w:szCs w:val="24"/>
        </w:rPr>
        <w:t xml:space="preserve">Recomendamos que las Partes acuerden un calendario para tres reuniones entre períodos de sesiones, una de cada Órgano Subsidiario, a fin de reducir los costos de transacción para la Secretaría, las Partes y los observadores.</w:t>
      </w:r>
    </w:p>
    <w:p w:rsidR="009C0A0D" w:rsidRDefault="009C0A0D" w14:paraId="5F1139F9"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2E9E1EB" w14:textId="77777777">
      <w:pPr>
        <w:pStyle w:val="Heading1"/>
        <w:rPr>
          <w:shd w:val="clear" w:color="auto" w:fill="C6C6C6"/>
        </w:rPr>
      </w:pPr>
      <w:bookmarkStart w:name="_aazxyk9a8tva" w:colFirst="0" w:colLast="0" w:id="1"/>
      <w:bookmarkEnd w:id="1"/>
      <w:r>
        <w:t xml:space="preserve">Punto 8a del orden del día: «Movilización de recursos» </w:t>
      </w:r>
    </w:p>
    <w:p w:rsidR="009C0A0D" w:rsidRDefault="00000000" w14:paraId="518CD3C1"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Proyecto de decisión actual: </w:t>
      </w:r>
      <w:hyperlink r:id="rId11">
        <w:r>
          <w:rPr>
            <w:rFonts w:ascii="Twentieth Century" w:hAnsi="Twentieth Century" w:eastAsia="Twentieth Century" w:cs="Twentieth Century"/>
            <w:i/>
            <w:iCs/>
            <w:color w:val="1155CC"/>
            <w:sz w:val="24"/>
            <w:szCs w:val="24"/>
            <w:u w:val="single"/>
          </w:rPr>
          <w:t xml:space="preserve">SBI/REC/7/2</w:t>
        </w:r>
      </w:hyperlink>
    </w:p>
    <w:p w:rsidR="009C0A0D" w:rsidRDefault="009C0A0D" w14:paraId="22A475B9" w14:textId="77777777">
      <w:pPr>
        <w:spacing w:line="240" w:lineRule="auto"/>
        <w:rPr>
          <w:rFonts w:ascii="Twentieth Century" w:hAnsi="Twentieth Century" w:eastAsia="Twentieth Century" w:cs="Twentieth Century"/>
          <w:sz w:val="20"/>
          <w:szCs w:val="20"/>
          <w:shd w:val="clear" w:color="auto" w:fill="C6C6C6"/>
        </w:rPr>
      </w:pPr>
    </w:p>
    <w:p w:rsidR="009C0A0D" w:rsidRDefault="00000000" w14:paraId="1A44EF2F"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lastRenderedPageBreak/>
      </w:r>
      <w:r>
        <w:rPr>
          <w:rFonts w:ascii="Twentieth Century" w:hAnsi="Twentieth Century" w:eastAsia="Twentieth Century" w:cs="Twentieth Century"/>
          <w:sz w:val="24"/>
          <w:szCs w:val="24"/>
        </w:rPr>
        <w:t xml:space="preserve">En relación con el proyecto de decisión de la COP17, recomendamos que las Partes: </w:t>
      </w:r>
    </w:p>
    <w:p w:rsidR="009C0A0D" w:rsidRDefault="009C0A0D" w14:paraId="6198A1A8" w14:textId="77777777">
      <w:pPr>
        <w:spacing w:line="240" w:lineRule="auto"/>
        <w:rPr>
          <w:rFonts w:ascii="Twentieth Century" w:hAnsi="Twentieth Century" w:eastAsia="Twentieth Century" w:cs="Twentieth Century"/>
          <w:sz w:val="24"/>
          <w:szCs w:val="24"/>
        </w:rPr>
      </w:pPr>
    </w:p>
    <w:p w:rsidR="009C0A0D" w:rsidRDefault="00000000" w14:paraId="377EA41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Mantengan </w:t>
      </w:r>
      <w:r>
        <w:rPr>
          <w:rFonts w:ascii="Twentieth Century" w:hAnsi="Twentieth Century" w:eastAsia="Twentieth Century" w:cs="Twentieth Century"/>
          <w:color w:val="00B050"/>
          <w:sz w:val="24"/>
          <w:szCs w:val="24"/>
        </w:rPr>
        <w:t xml:space="preserve">[eliminen los corchetes del] texto del párrafo operativo 2 que reconoce un aumento histórico y a largo plazo en los flujos relacionados con la biodiversidad, pero admite que el financiamiento público internacional sigue </w:t>
      </w:r>
      <w:r>
        <w:rPr>
          <w:rFonts w:ascii="Twentieth Century" w:hAnsi="Twentieth Century" w:eastAsia="Twentieth Century" w:cs="Twentieth Century"/>
          <w:sz w:val="24"/>
          <w:szCs w:val="24"/>
        </w:rPr>
        <w:t xml:space="preserve">siendo</w:t>
      </w:r>
      <w:r>
        <w:rPr>
          <w:rFonts w:ascii="Twentieth Century" w:hAnsi="Twentieth Century" w:eastAsia="Twentieth Century" w:cs="Twentieth Century"/>
          <w:color w:val="00B050"/>
          <w:sz w:val="24"/>
          <w:szCs w:val="24"/>
        </w:rPr>
        <w:t xml:space="preserve"> insuficiente en la actualidad. </w:t>
      </w:r>
      <w:r>
        <w:rPr>
          <w:rFonts w:ascii="Twentieth Century" w:hAnsi="Twentieth Century" w:eastAsia="Twentieth Century" w:cs="Twentieth Century"/>
          <w:sz w:val="24"/>
          <w:szCs w:val="24"/>
        </w:rPr>
        <w:t xml:space="preserve">Los niveles actuales de financiamiento siguen estando sustancialmente por debajo de lo requerido para alcanzar las metas y objetivos del </w:t>
      </w:r>
      <w:r>
        <w:rPr>
          <w:rFonts w:ascii="Twentieth Century" w:hAnsi="Twentieth Century" w:eastAsia="Twentieth Century" w:cs="Twentieth Century"/>
          <w:sz w:val="24"/>
          <w:szCs w:val="24"/>
        </w:rPr>
        <w:t xml:space="preserve">KM-GBF</w:t>
      </w:r>
      <w:r>
        <w:rPr>
          <w:rFonts w:ascii="Twentieth Century" w:hAnsi="Twentieth Century" w:eastAsia="Twentieth Century" w:cs="Twentieth Century"/>
          <w:sz w:val="24"/>
          <w:szCs w:val="24"/>
        </w:rPr>
        <w:t xml:space="preserve">, y este déficit es particularmente grave para los países menos desarrollados y los pequeños Estados insulares en desarrollo que albergan biodiversidad de importancia mundial. El aumento sostenido de los flujos públicos no debería impedir que la CoP adopte otros llamamientos dirigidos a todos los países para que corrijan sus políticas e incentivos financieros (véase más adelante), liberen nuevos recursos financieros nacionales para ir más allá del ciclo de proyectos y movilicen financiamiento nuevo y adicional del sector privado a través de programas basados en evidencia. </w:t>
      </w:r>
    </w:p>
    <w:p w:rsidR="009C0A0D" w:rsidRDefault="00000000" w14:paraId="1069DC14"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563C1"/>
          <w:sz w:val="24"/>
          <w:szCs w:val="24"/>
        </w:rPr>
        <w:t xml:space="preserve">Agregar </w:t>
      </w:r>
      <w:r>
        <w:rPr>
          <w:rFonts w:ascii="Twentieth Century" w:hAnsi="Twentieth Century" w:eastAsia="Twentieth Century" w:cs="Twentieth Century"/>
          <w:color w:val="0563C1"/>
          <w:sz w:val="24"/>
          <w:szCs w:val="24"/>
        </w:rPr>
        <w:t xml:space="preserve">texto a esta decisión relacionado con la Meta 18, que instaría a reformar, reorientar y eliminar los incentivos perjudiciales, incluidas las subvenciones perjudiciales para el medio ambiente.</w:t>
      </w:r>
      <w:r>
        <w:rPr>
          <w:rFonts w:ascii="Twentieth Century" w:hAnsi="Twentieth Century" w:eastAsia="Twentieth Century" w:cs="Twentieth Century"/>
          <w:sz w:val="24"/>
          <w:szCs w:val="24"/>
        </w:rPr>
        <w:t xml:space="preserve"> Los gastos públicos que incentivan la pérdida de biodiversidad a menudo superan las inversiones destinadas a la conservación y el uso sostenible de la biodiversidad. Reformar, reorientar y eliminar los incentivos nocivos, incluidos los subsidios perjudiciales para el medio ambiente, puede generar beneficios sustanciales al reducir las presiones sobre la naturaleza y, al mismo tiempo, liberar recursos públicos para inversiones que beneficien a la biodiversidad. Esto debe destacarse como parte de un paquete completo sobre la movilización de recursos. </w:t>
      </w:r>
    </w:p>
    <w:p w:rsidR="009C0A0D" w:rsidRDefault="00000000" w14:paraId="482C96F3" w14:textId="77777777">
      <w:pPr>
        <w:pStyle w:val="Heading1"/>
        <w:rPr>
          <w:shd w:val="clear" w:color="auto" w:fill="C6C6C6"/>
        </w:rPr>
      </w:pPr>
      <w:bookmarkStart w:name="_b9ymn1mvtlvf" w:colFirst="0" w:colLast="0" w:id="2"/>
      <w:bookmarkEnd w:id="2"/>
      <w:r>
        <w:br/>
      </w:r>
      <w:r>
        <w:t xml:space="preserve">Punto 8b del orden del día: «Mecanismo financiero»</w:t>
      </w:r>
      <w:r>
        <w:rPr>
          <w:shd w:val="clear" w:color="auto" w:fill="C6C6C6"/>
        </w:rPr>
        <w:t xml:space="preserve"> </w:t>
      </w:r>
    </w:p>
    <w:p w:rsidR="009C0A0D" w:rsidRDefault="00000000" w14:paraId="71A7BE24"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Borrador actual de la decisión: </w:t>
      </w:r>
      <w:hyperlink r:id="rId12">
        <w:r>
          <w:rPr>
            <w:rFonts w:ascii="Twentieth Century" w:hAnsi="Twentieth Century" w:eastAsia="Twentieth Century" w:cs="Twentieth Century"/>
            <w:i/>
            <w:iCs/>
            <w:color w:val="1155CC"/>
            <w:sz w:val="24"/>
            <w:szCs w:val="24"/>
            <w:u w:val="single"/>
          </w:rPr>
          <w:t xml:space="preserve">SBI/REC/7/3</w:t>
        </w:r>
      </w:hyperlink>
    </w:p>
    <w:p w:rsidR="009C0A0D" w:rsidRDefault="009C0A0D" w14:paraId="4B36716D" w14:textId="77777777">
      <w:pPr>
        <w:spacing w:line="240" w:lineRule="auto"/>
        <w:rPr>
          <w:rFonts w:ascii="Twentieth Century" w:hAnsi="Twentieth Century" w:eastAsia="Twentieth Century" w:cs="Twentieth Century"/>
          <w:sz w:val="20"/>
          <w:szCs w:val="20"/>
          <w:shd w:val="clear" w:color="auto" w:fill="C6C6C6"/>
        </w:rPr>
      </w:pPr>
    </w:p>
    <w:p w:rsidR="009C0A0D" w:rsidRDefault="00000000" w14:paraId="02AA304D"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cuanto al proyecto de decisión de la CoP17, recomendamos que las Partes: </w:t>
      </w:r>
    </w:p>
    <w:p w:rsidR="009C0A0D" w:rsidRDefault="00000000" w14:paraId="560BBB4F"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1B1DAE87"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Mantengan </w:t>
      </w:r>
      <w:r>
        <w:rPr>
          <w:rFonts w:ascii="Twentieth Century" w:hAnsi="Twentieth Century" w:eastAsia="Twentieth Century" w:cs="Twentieth Century"/>
          <w:color w:val="00B050"/>
          <w:sz w:val="24"/>
          <w:szCs w:val="24"/>
        </w:rPr>
        <w:t xml:space="preserve">[eliminen los corchetes del] texto del párrafo operativo 11: «al tiempo que se facilite la participación plena y efectiva de los pueblos indígenas y las comunidades locales, las mujeres y los jóvenes». </w:t>
      </w:r>
      <w:r>
        <w:rPr>
          <w:rFonts w:ascii="Twentieth Century" w:hAnsi="Twentieth Century" w:eastAsia="Twentieth Century" w:cs="Twentieth Century"/>
          <w:color w:val="242424"/>
          <w:sz w:val="24"/>
          <w:szCs w:val="24"/>
        </w:rPr>
        <w:t xml:space="preserve">En el párrafo 4(l) de la Decisión 16/34 se establece la medida habilitante de «asegurar la representación y participación plenas, equitativas, inclusivas, efectivas y sensibles al género de los pueblos indígenas y las comunidades locales, las mujeres y los jóvenes en la toma de decisiones». </w:t>
      </w:r>
    </w:p>
    <w:p w:rsidR="009C0A0D" w:rsidRDefault="00000000" w14:paraId="5CBD3FF1" w14:textId="77777777">
      <w:pPr>
        <w:numPr>
          <w:ilvl w:val="0"/>
          <w:numId w:val="2"/>
        </w:numPr>
        <w:spacing w:line="240" w:lineRule="auto"/>
        <w:rPr>
          <w:rFonts w:ascii="Twentieth Century" w:hAnsi="Twentieth Century" w:eastAsia="Twentieth Century" w:cs="Twentieth Century"/>
          <w:color w:val="242424"/>
        </w:rPr>
      </w:pPr>
      <w:r>
        <w:rPr>
          <w:rFonts w:ascii="Twentieth Century" w:hAnsi="Twentieth Century" w:eastAsia="Twentieth Century" w:cs="Twentieth Century"/>
          <w:b/>
          <w:bCs/>
          <w:color w:val="00B050"/>
          <w:sz w:val="24"/>
          <w:szCs w:val="24"/>
        </w:rPr>
        <w:t xml:space="preserve">Mantengan </w:t>
      </w:r>
      <w:r>
        <w:rPr>
          <w:rFonts w:ascii="Twentieth Century" w:hAnsi="Twentieth Century" w:eastAsia="Twentieth Century" w:cs="Twentieth Century"/>
          <w:color w:val="00B050"/>
          <w:sz w:val="24"/>
          <w:szCs w:val="24"/>
        </w:rPr>
        <w:t xml:space="preserve">[eliminen los corchetes del] texto del punto OP12(f) sobre las modalidades específicas de acceso directo. </w:t>
      </w:r>
      <w:r>
        <w:rPr>
          <w:rFonts w:ascii="Twentieth Century" w:hAnsi="Twentieth Century" w:eastAsia="Twentieth Century" w:cs="Twentieth Century"/>
          <w:color w:val="242424"/>
          <w:sz w:val="24"/>
          <w:szCs w:val="24"/>
        </w:rPr>
        <w:t xml:space="preserve">Además de las organizaciones intermediarias que canalizan fondos a las comunidades, es importante que el FMAM facilite procedimientos simplificados y apoye directamente a los pueblos indígenas y las comunidades locales. Existe un ecosistema en expansión de fondos territoriales y liderados por indígenas que han abierto nuevas opciones estratégicas para los donantes y están ofreciendo a las comunidades vías de financiamiento diseñadas y gobernadas por sus propios movimientos; sin embargo, el financiamiento que llega directamente a estas organizaciones y a las organizaciones territoriales sigue siendo muy reducido. </w:t>
      </w:r>
    </w:p>
    <w:p w:rsidR="009C0A0D" w:rsidRDefault="009C0A0D" w14:paraId="634AE4A7" w14:textId="77777777">
      <w:pPr>
        <w:spacing w:line="240" w:lineRule="auto"/>
        <w:ind w:start="720"/>
        <w:rPr>
          <w:rFonts w:ascii="Twentieth Century" w:hAnsi="Twentieth Century" w:eastAsia="Twentieth Century" w:cs="Twentieth Century"/>
          <w:color w:val="242424"/>
          <w:sz w:val="24"/>
          <w:szCs w:val="24"/>
        </w:rPr>
      </w:pPr>
    </w:p>
    <w:p w:rsidR="009C0A0D" w:rsidRDefault="00000000" w14:paraId="4B32CE48" w14:textId="77777777">
      <w:pPr>
        <w:pStyle w:val="Heading1"/>
        <w:rPr>
          <w:shd w:val="clear" w:color="auto" w:fill="C6C6C6"/>
        </w:rPr>
      </w:pPr>
      <w:bookmarkStart w:name="_bd98lc52bwrf" w:colFirst="0" w:colLast="0" w:id="3"/>
      <w:bookmarkEnd w:id="3"/>
      <w:r>
        <w:t xml:space="preserve">Punto 9a del orden del día: «Planificación, seguimiento, presentación de informes y revisión: revisión global de los avances colectivos en la implementación del Marco Global de Biodiversidad de Kunming-Montreal» </w:t>
      </w:r>
    </w:p>
    <w:p w:rsidR="009C0A0D" w:rsidRDefault="00000000" w14:paraId="77208468"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Borrador actual de la decisión: </w:t>
      </w:r>
      <w:hyperlink r:id="rId13">
        <w:r>
          <w:rPr>
            <w:rFonts w:ascii="Twentieth Century" w:hAnsi="Twentieth Century" w:eastAsia="Twentieth Century" w:cs="Twentieth Century"/>
            <w:i/>
            <w:iCs/>
            <w:color w:val="1155CC"/>
            <w:sz w:val="24"/>
            <w:szCs w:val="24"/>
            <w:u w:val="single"/>
          </w:rPr>
          <w:t xml:space="preserve">SBI/REC/7/1</w:t>
        </w:r>
      </w:hyperlink>
      <w:r>
        <w:rPr>
          <w:rFonts w:ascii="Twentieth Century" w:hAnsi="Twentieth Century" w:eastAsia="Twentieth Century" w:cs="Twentieth Century"/>
          <w:i/>
          <w:iCs/>
          <w:sz w:val="24"/>
          <w:szCs w:val="24"/>
        </w:rPr>
        <w:t xml:space="preserve"> [parte A]</w:t>
      </w:r>
    </w:p>
    <w:p w:rsidR="009C0A0D" w:rsidRDefault="009C0A0D" w14:paraId="35848B55"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38E217F7"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Con respecto al proyecto de decisión de la CoP17, recomendamos que las Partes: </w:t>
      </w:r>
    </w:p>
    <w:p w:rsidR="009C0A0D" w:rsidRDefault="009C0A0D" w14:paraId="54BE41A3" w14:textId="77777777">
      <w:pPr>
        <w:spacing w:line="240" w:lineRule="auto"/>
        <w:rPr>
          <w:rFonts w:ascii="Twentieth Century" w:hAnsi="Twentieth Century" w:eastAsia="Twentieth Century" w:cs="Twentieth Century"/>
          <w:sz w:val="24"/>
          <w:szCs w:val="24"/>
        </w:rPr>
      </w:pPr>
    </w:p>
    <w:p w:rsidR="009C0A0D" w:rsidRDefault="00000000" w14:paraId="21E8DB11"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Mantengan </w:t>
      </w:r>
      <w:r>
        <w:rPr>
          <w:rFonts w:ascii="Twentieth Century" w:hAnsi="Twentieth Century" w:eastAsia="Twentieth Century" w:cs="Twentieth Century"/>
          <w:color w:val="00B050"/>
          <w:sz w:val="24"/>
          <w:szCs w:val="24"/>
        </w:rPr>
        <w:t xml:space="preserve">[eliminen los corchetes del] texto del párrafo OP22 (original) que alienta o invita a las Partes a fortalecer el alcance y la cobertura de los compromisos nacionales específicamente para abordar las brechas clave. </w:t>
      </w:r>
      <w:r>
        <w:rPr>
          <w:rFonts w:ascii="Twentieth Century" w:hAnsi="Twentieth Century" w:eastAsia="Twentieth Century" w:cs="Twentieth Century"/>
          <w:sz w:val="24"/>
          <w:szCs w:val="24"/>
        </w:rPr>
        <w:t xml:space="preserve">En los casos en que el Examen Global haya señalado brechas clave en la traducción de conceptos clave dentro de las Metas globales —como la prevención de la propagación de patógenos en el marco de la Meta 5— a metas nacionales, esa información puede ser útil para que las Partes proporcionen actualizaciones opcionales o voluntarias a sus metas nacionales. Acogemos con beneplácito la referencia —actualmente entre corchetes— a la necesidad de abordar las brechas existentes en la implementación del Marco Global de Conocimiento (KM-GBF) en los ecosistemas marinos, pero quisiéramos equilibrar esto con la oportunidad de abordar otras brechas identificadas en la revisión global pero no incluidas en la lista reducida de objetivos. </w:t>
      </w:r>
    </w:p>
    <w:p w:rsidR="009C0A0D" w:rsidRDefault="00000000" w14:paraId="7D28CE46"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Mantener </w:t>
      </w:r>
      <w:r>
        <w:rPr>
          <w:rFonts w:ascii="Twentieth Century" w:hAnsi="Twentieth Century" w:eastAsia="Twentieth Century" w:cs="Twentieth Century"/>
          <w:color w:val="00B050"/>
          <w:sz w:val="24"/>
          <w:szCs w:val="24"/>
        </w:rPr>
        <w:t xml:space="preserve">[eliminar los corchetes del] </w:t>
      </w:r>
      <w:r>
        <w:rPr>
          <w:rFonts w:ascii="Twentieth Century" w:hAnsi="Twentieth Century" w:eastAsia="Twentieth Century" w:cs="Twentieth Century"/>
          <w:color w:val="00B050"/>
          <w:sz w:val="24"/>
          <w:szCs w:val="24"/>
        </w:rPr>
        <w:t xml:space="preserve">texto del OP39 que alienta a las Partes a elaborar mapas nacionales de ecosistemas. </w:t>
      </w:r>
      <w:r>
        <w:rPr>
          <w:rFonts w:ascii="Twentieth Century" w:hAnsi="Twentieth Century" w:eastAsia="Twentieth Century" w:cs="Twentieth Century"/>
          <w:sz w:val="24"/>
          <w:szCs w:val="24"/>
        </w:rPr>
        <w:t xml:space="preserve">Los ecosistemas son una expresión fundamental de la biodiversidad y proporcionan un vínculo claro con foros de políticas fuera del CDB. Apoyamos que se mantenga el texto entre corchetes del OP39, que alienta a las Partes a elaborar mapas nacionales de ecosistemas a partir de los cuales se puedan derivar o construir otros datos y análisis. Esto también responde al Mensaje clave A.4 del Informe Global, según el cual </w:t>
      </w:r>
      <w:r>
        <w:rPr>
          <w:rFonts w:ascii="Twentieth Century" w:hAnsi="Twentieth Century" w:eastAsia="Twentieth Century" w:cs="Twentieth Century"/>
          <w:i/>
          <w:iCs/>
          <w:sz w:val="24"/>
          <w:szCs w:val="24"/>
        </w:rPr>
        <w:t xml:space="preserve">la planificación espacial, tal como se detalla en la Meta 1 del Marco..., podría sentar las bases para fomentar la coherencia de las políticas y su integración</w:t>
      </w:r>
      <w:r>
        <w:rPr>
          <w:rFonts w:ascii="Twentieth Century" w:hAnsi="Twentieth Century" w:eastAsia="Twentieth Century" w:cs="Twentieth Century"/>
          <w:sz w:val="24"/>
          <w:szCs w:val="24"/>
        </w:rPr>
        <w:t xml:space="preserve">». Nuestra experiencia apoyando a socios en Mozambique para </w:t>
      </w:r>
      <w:hyperlink r:id="rId14">
        <w:r>
          <w:rPr>
            <w:rFonts w:ascii="Twentieth Century" w:hAnsi="Twentieth Century" w:eastAsia="Twentieth Century" w:cs="Twentieth Century"/>
            <w:color w:val="1155CC"/>
            <w:sz w:val="24"/>
            <w:szCs w:val="24"/>
            <w:u w:val="single"/>
          </w:rPr>
          <w:t xml:space="preserve">llevar a cabo</w:t>
        </w:r>
      </w:hyperlink>
      <w:r>
        <w:rPr>
          <w:rFonts w:ascii="Twentieth Century" w:hAnsi="Twentieth Century" w:eastAsia="Twentieth Century" w:cs="Twentieth Century"/>
          <w:sz w:val="24"/>
          <w:szCs w:val="24"/>
        </w:rPr>
        <w:t xml:space="preserve"> la cartografía de ecosistemas a escala nacional ha permitido acciones de conservación significativas que, de otra manera, serían difíciles de realizar, incluida la identificación de ecosistemas de alta integridad en consonancia con la Meta 1 del KM-GBF. </w:t>
      </w:r>
    </w:p>
    <w:p w:rsidR="009C0A0D" w:rsidRDefault="00000000" w14:paraId="217E4EFD"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Mantener </w:t>
      </w:r>
      <w:r>
        <w:rPr>
          <w:rFonts w:ascii="Twentieth Century" w:hAnsi="Twentieth Century" w:eastAsia="Twentieth Century" w:cs="Twentieth Century"/>
          <w:color w:val="00B050"/>
          <w:sz w:val="24"/>
          <w:szCs w:val="24"/>
        </w:rPr>
        <w:t xml:space="preserve">el texto en el OP32 para conservar el impulso en materia de coherencia de políticas e implementación sinérgica. </w:t>
      </w:r>
      <w:r>
        <w:rPr>
          <w:rFonts w:ascii="Twentieth Century" w:hAnsi="Twentieth Century" w:eastAsia="Twentieth Century" w:cs="Twentieth Century"/>
          <w:sz w:val="24"/>
          <w:szCs w:val="24"/>
        </w:rPr>
        <w:t xml:space="preserve">La ciencia deja claro que los objetivos de biodiversidad y clima están interrelacionados, y que ningún objetivo de ninguna convención individual relacionada con la biodiversidad puede alcanzarse de manera aislada. Este párrafo responde directamente a las conclusiones de la Revisión Global y se hace eco tanto de los llamamientos de la sociedad civil como </w:t>
      </w:r>
      <w:hyperlink r:id="rId15">
        <w:r>
          <w:rPr>
            <w:rFonts w:ascii="Twentieth Century" w:hAnsi="Twentieth Century" w:eastAsia="Twentieth Century" w:cs="Twentieth Century"/>
            <w:color w:val="1155CC"/>
            <w:sz w:val="24"/>
            <w:szCs w:val="24"/>
            <w:u w:val="single"/>
          </w:rPr>
          <w:t xml:space="preserve">de la evidencia</w:t>
        </w:r>
      </w:hyperlink>
      <w:r>
        <w:rPr>
          <w:rFonts w:ascii="Twentieth Century" w:hAnsi="Twentieth Century" w:eastAsia="Twentieth Century" w:cs="Twentieth Century"/>
          <w:sz w:val="24"/>
          <w:szCs w:val="24"/>
        </w:rPr>
        <w:t xml:space="preserve"> de que las estrategias de biodiversidad y clima carecen de vínculos concretos a nivel nacional y subnacional. [Véase también: OP12 en el punto 9(b) del orden del día, más abajo]. El desafío, sin embargo, radica en poner en práctica una agenda de integración, lo cual debe reflejarse en las solicitudes al Secretario Ejecutivo y en las discusiones presupuestarias. </w:t>
      </w:r>
    </w:p>
    <w:p w:rsidR="009C0A0D" w:rsidRDefault="00000000" w14:paraId="05A9079F"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Mantener </w:t>
      </w:r>
      <w:r>
        <w:rPr>
          <w:rFonts w:ascii="Twentieth Century" w:hAnsi="Twentieth Century" w:eastAsia="Twentieth Century" w:cs="Twentieth Century"/>
          <w:color w:val="00B050"/>
          <w:sz w:val="24"/>
          <w:szCs w:val="24"/>
        </w:rPr>
        <w:t xml:space="preserve">[eliminar los corchetes del] texto de las OP 35 y 37 que instan a las Partes a fortalecer la participación de todos en la planificación y la implementación</w:t>
      </w:r>
      <w:r>
        <w:rPr>
          <w:rFonts w:ascii="Twentieth Century" w:hAnsi="Twentieth Century" w:eastAsia="Twentieth Century" w:cs="Twentieth Century"/>
          <w:sz w:val="24"/>
          <w:szCs w:val="24"/>
        </w:rPr>
        <w:t xml:space="preserve">, así como el texto específico sobre facilitar la participación plena y efectiva de los pueblos indígenas y las comunidades locales, las mujeres y los jóvenes.  </w:t>
      </w:r>
    </w:p>
    <w:p w:rsidR="009C0A0D" w:rsidRDefault="00000000" w14:paraId="40960BB8"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rPr>
        <w:t xml:space="preserve">Agregar </w:t>
      </w:r>
      <w:r>
        <w:rPr>
          <w:rFonts w:ascii="Twentieth Century" w:hAnsi="Twentieth Century" w:eastAsia="Twentieth Century" w:cs="Twentieth Century"/>
          <w:color w:val="0070C0"/>
          <w:sz w:val="24"/>
          <w:szCs w:val="24"/>
        </w:rPr>
        <w:t xml:space="preserve">una nueva OP (después de la OP 35), o incluir en la Declaración de los Líderes, un llamado a una mayor inversión en las personas que se encuentran en la primera línea de la conservación. </w:t>
      </w:r>
      <w:r>
        <w:rPr>
          <w:rFonts w:ascii="Twentieth Century" w:hAnsi="Twentieth Century" w:eastAsia="Twentieth Century" w:cs="Twentieth Century"/>
          <w:sz w:val="24"/>
          <w:szCs w:val="24"/>
        </w:rPr>
        <w:t xml:space="preserve">Iniciativas como </w:t>
      </w:r>
      <w:hyperlink r:id="rId16">
        <w:r>
          <w:rPr>
            <w:rFonts w:ascii="Twentieth Century" w:hAnsi="Twentieth Century" w:eastAsia="Twentieth Century" w:cs="Twentieth Century"/>
            <w:color w:val="1155CC"/>
            <w:sz w:val="24"/>
            <w:szCs w:val="24"/>
            <w:u w:val="single"/>
          </w:rPr>
          <w:t xml:space="preserve">Women Ocean Guardians</w:t>
        </w:r>
      </w:hyperlink>
      <w:r>
        <w:rPr>
          <w:rFonts w:ascii="Twentieth Century" w:hAnsi="Twentieth Century" w:eastAsia="Twentieth Century" w:cs="Twentieth Century"/>
          <w:sz w:val="24"/>
          <w:szCs w:val="24"/>
        </w:rPr>
        <w:t xml:space="preserve"> demuestran cómo los compromisos voluntarios se traducen en la implementación de KM-GBF a través de una alianza global centrada en la gobernanza oceánica transformadora en materia de género y el liderazgo de las mujeres en la conservación marina. Los guardaparques, </w:t>
      </w:r>
      <w:r>
        <w:rPr>
          <w:rFonts w:ascii="Twentieth Century" w:hAnsi="Twentieth Century" w:eastAsia="Twentieth Century" w:cs="Twentieth Century"/>
          <w:sz w:val="24"/>
          <w:szCs w:val="24"/>
        </w:rPr>
        <w:t xml:space="preserve">los guardias ecológicos</w:t>
      </w:r>
      <w:r>
        <w:rPr>
          <w:rFonts w:ascii="Twentieth Century" w:hAnsi="Twentieth Century" w:eastAsia="Twentieth Century" w:cs="Twentieth Century"/>
          <w:sz w:val="24"/>
          <w:szCs w:val="24"/>
        </w:rPr>
        <w:t xml:space="preserve">, los pescadores y otras personas que trabajan en la primera línea de la conservación son actores fundamentales en la implementación de KM-GBF, pero estas personas y sus sistemas de gestión no ocupan un lugar destacado en los llamamientos para mejorar la implementación de 2026 a 2030. </w:t>
      </w:r>
    </w:p>
    <w:p w:rsidR="009C0A0D" w:rsidRDefault="00000000" w14:paraId="574C6B15" w14:textId="77777777">
      <w:pPr>
        <w:spacing w:line="240" w:lineRule="auto"/>
        <w:ind w:start="720"/>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9B4EB48" w14:textId="77777777">
      <w:pPr>
        <w:pStyle w:val="Heading1"/>
        <w:rPr>
          <w:shd w:val="clear" w:color="auto" w:fill="C6C6C6"/>
        </w:rPr>
      </w:pPr>
      <w:bookmarkStart w:name="_fi9rlyfsjwv0" w:colFirst="0" w:colLast="0" w:id="4"/>
      <w:bookmarkEnd w:id="4"/>
      <w:r>
        <w:lastRenderedPageBreak/>
      </w:r>
      <w:r>
        <w:t xml:space="preserve">Punto 9b del orden del día: «Marco de seguimiento del Marco Global de Biodiversidad de Kunming-Montreal» </w:t>
      </w:r>
    </w:p>
    <w:p w:rsidR="009C0A0D" w:rsidRDefault="00000000" w14:paraId="1CB2FD27"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i/>
          <w:iCs/>
          <w:sz w:val="24"/>
          <w:szCs w:val="24"/>
        </w:rPr>
        <w:t xml:space="preserve">Borrador actual de la decisión: </w:t>
      </w:r>
      <w:hyperlink r:id="rId17">
        <w:r>
          <w:rPr>
            <w:rFonts w:ascii="Twentieth Century" w:hAnsi="Twentieth Century" w:eastAsia="Twentieth Century" w:cs="Twentieth Century"/>
            <w:i/>
            <w:iCs/>
            <w:color w:val="1155CC"/>
            <w:sz w:val="24"/>
            <w:szCs w:val="24"/>
            <w:u w:val="single"/>
          </w:rPr>
          <w:t xml:space="preserve">SBI/REC/7/1</w:t>
        </w:r>
      </w:hyperlink>
      <w:r>
        <w:rPr>
          <w:rFonts w:ascii="Twentieth Century" w:hAnsi="Twentieth Century" w:eastAsia="Twentieth Century" w:cs="Twentieth Century"/>
          <w:i/>
          <w:iCs/>
          <w:sz w:val="24"/>
          <w:szCs w:val="24"/>
        </w:rPr>
        <w:t xml:space="preserve"> [parte B]</w:t>
      </w:r>
    </w:p>
    <w:p w:rsidR="009C0A0D" w:rsidRDefault="00000000" w14:paraId="19A68C66"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564E69E"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cuanto al proyecto de decisión de la CoP17, recomendamos que las Partes: </w:t>
      </w:r>
    </w:p>
    <w:p w:rsidR="009C0A0D" w:rsidRDefault="009C0A0D" w14:paraId="2AF012C4"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70CBB19"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Mantengan </w:t>
      </w:r>
      <w:r>
        <w:rPr>
          <w:rFonts w:ascii="Twentieth Century" w:hAnsi="Twentieth Century" w:eastAsia="Twentieth Century" w:cs="Twentieth Century"/>
          <w:color w:val="00B050"/>
          <w:sz w:val="24"/>
          <w:szCs w:val="24"/>
        </w:rPr>
        <w:t xml:space="preserve">el texto del párrafo operativo 7 (OP7) en el que se insta a que la segunda revisión global mejore la evaluación de los resultados y </w:t>
      </w:r>
      <w:r>
        <w:rPr>
          <w:rFonts w:ascii="Twentieth Century" w:hAnsi="Twentieth Century" w:eastAsia="Twentieth Century" w:cs="Twentieth Century"/>
          <w:color w:val="00B050"/>
          <w:sz w:val="24"/>
          <w:szCs w:val="24"/>
        </w:rPr>
        <w:t xml:space="preserve">la eficacia, y </w:t>
      </w:r>
      <w:r>
        <w:rPr>
          <w:rFonts w:ascii="Twentieth Century" w:hAnsi="Twentieth Century" w:eastAsia="Twentieth Century" w:cs="Twentieth Century"/>
          <w:color w:val="00B050"/>
          <w:sz w:val="24"/>
          <w:szCs w:val="24"/>
        </w:rPr>
        <w:t xml:space="preserve">consideren modificar el mandato del ASHTAG al respecto. </w:t>
      </w:r>
      <w:r>
        <w:rPr>
          <w:rFonts w:ascii="Twentieth Century" w:hAnsi="Twentieth Century" w:eastAsia="Twentieth Century" w:cs="Twentieth Century"/>
          <w:sz w:val="24"/>
          <w:szCs w:val="24"/>
        </w:rPr>
        <w:t xml:space="preserve">El Examen Global fue claro al señalar la falta de </w:t>
      </w:r>
      <w:r>
        <w:rPr>
          <w:rFonts w:ascii="Twentieth Century" w:hAnsi="Twentieth Century" w:eastAsia="Twentieth Century" w:cs="Twentieth Century"/>
          <w:i/>
          <w:iCs/>
          <w:sz w:val="24"/>
          <w:szCs w:val="24"/>
        </w:rPr>
        <w:t xml:space="preserve">«infraestructura técnica y líneas de base necesarias para evaluar la salud de los ecosistemas o la eficacia de su gestión. Las brechas son particularmente graves en los ecosistemas marinos y de aguas profundas…». </w:t>
      </w:r>
      <w:r>
        <w:rPr>
          <w:rFonts w:ascii="Twentieth Century" w:hAnsi="Twentieth Century" w:eastAsia="Twentieth Century" w:cs="Twentieth Century"/>
          <w:sz w:val="24"/>
          <w:szCs w:val="24"/>
        </w:rPr>
        <w:t xml:space="preserve">En primer lugar, propondríamos modificar la redacción del párrafo OP7 para que se refiera más directamente a los Objetivos para 2050 del Marco Global de Biodiversidad de Kunming-Montreal (KM-GBF) (por ejemplo, resultados relacionados con el fortalecimiento de la «integridad, conectividad y resiliencia» de los ecosistemas). En segundo lugar, la WCS cuenta con amplia experiencia en el uso de herramientas tecnológicas para optimizar la recopilación y gestión de datos para el monitoreo de la biodiversidad y la medición de resultados, incluso en el ámbito marino. Por último, tomamos nota del trabajo en curso de la Comisión Mundial de Áreas Protegidas de la UICN para explorar estas cuestiones </w:t>
      </w:r>
      <w:r>
        <w:rPr>
          <w:rFonts w:ascii="Twentieth Century" w:hAnsi="Twentieth Century" w:eastAsia="Twentieth Century" w:cs="Twentieth Century"/>
          <w:sz w:val="24"/>
          <w:szCs w:val="24"/>
        </w:rPr>
        <w:t xml:space="preserve">sobre</w:t>
      </w:r>
      <w:r>
        <w:rPr>
          <w:rFonts w:ascii="Twentieth Century" w:hAnsi="Twentieth Century" w:eastAsia="Twentieth Century" w:cs="Twentieth Century"/>
          <w:sz w:val="24"/>
          <w:szCs w:val="24"/>
        </w:rPr>
        <w:t xml:space="preserve"> </w:t>
      </w:r>
      <w:hyperlink r:id="rId18">
        <w:r>
          <w:rPr>
            <w:rFonts w:ascii="Twentieth Century" w:hAnsi="Twentieth Century" w:eastAsia="Twentieth Century" w:cs="Twentieth Century"/>
            <w:color w:val="1155CC"/>
            <w:sz w:val="24"/>
            <w:szCs w:val="24"/>
            <w:u w:val="single"/>
          </w:rPr>
          <w:t xml:space="preserve">los resultados</w:t>
        </w:r>
      </w:hyperlink>
      <w:r>
        <w:rPr>
          <w:rFonts w:ascii="Twentieth Century" w:hAnsi="Twentieth Century" w:eastAsia="Twentieth Century" w:cs="Twentieth Century"/>
          <w:sz w:val="24"/>
          <w:szCs w:val="24"/>
        </w:rPr>
        <w:t xml:space="preserve"> y la integridad ecológica. </w:t>
      </w:r>
    </w:p>
    <w:p w:rsidR="009C0A0D" w:rsidRDefault="00000000" w14:paraId="1E729C61"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Mantener </w:t>
      </w:r>
      <w:r>
        <w:rPr>
          <w:rFonts w:ascii="Twentieth Century" w:hAnsi="Twentieth Century" w:eastAsia="Twentieth Century" w:cs="Twentieth Century"/>
          <w:color w:val="00B050"/>
          <w:sz w:val="24"/>
          <w:szCs w:val="24"/>
        </w:rPr>
        <w:t xml:space="preserve">[eliminar los corchetes en] el texto de los párrafos OP11 y 22(j), con miras a la segunda revisión global y al valor de orientar las inversiones hacia las áreas necesarias. </w:t>
      </w:r>
      <w:r>
        <w:rPr>
          <w:rFonts w:ascii="Twentieth Century" w:hAnsi="Twentieth Century" w:eastAsia="Twentieth Century" w:cs="Twentieth Century"/>
          <w:sz w:val="24"/>
          <w:szCs w:val="24"/>
        </w:rPr>
        <w:t xml:space="preserve">Reconocemos la incertidumbre respecto a lo que podría existir entre 2030 y 2050 como una versión modificada del KM-GBF. Sin embargo, apoyamos firmemente un lenguaje que se base directamente en los resultados de las revisiones globales, en lugar de desarrollarse en el vacío. El diseño de la segunda revisión global debería tomar esto en cuenta, sin dejar de centrarse en los esfuerzos históricos para implementar las metas existentes para 2030. </w:t>
      </w:r>
    </w:p>
    <w:p w:rsidR="009C0A0D" w:rsidRDefault="00000000" w14:paraId="2DE5F71A"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Mantener</w:t>
      </w:r>
      <w:r>
        <w:rPr>
          <w:rFonts w:ascii="Twentieth Century" w:hAnsi="Twentieth Century" w:eastAsia="Twentieth Century" w:cs="Twentieth Century"/>
          <w:color w:val="00B050"/>
          <w:sz w:val="24"/>
          <w:szCs w:val="24"/>
        </w:rPr>
        <w:t xml:space="preserve">, dentro </w:t>
      </w:r>
      <w:r>
        <w:rPr>
          <w:rFonts w:ascii="Twentieth Century" w:hAnsi="Twentieth Century" w:eastAsia="Twentieth Century" w:cs="Twentieth Century"/>
          <w:color w:val="00B050"/>
          <w:sz w:val="24"/>
          <w:szCs w:val="24"/>
        </w:rPr>
        <w:t xml:space="preserve">de los</w:t>
      </w:r>
      <w:r>
        <w:rPr>
          <w:rFonts w:ascii="Twentieth Century" w:hAnsi="Twentieth Century" w:eastAsia="Twentieth Century" w:cs="Twentieth Century"/>
          <w:color w:val="00B050"/>
          <w:sz w:val="24"/>
          <w:szCs w:val="24"/>
        </w:rPr>
        <w:t xml:space="preserve"> Términos de Referencia (TdR) </w:t>
      </w:r>
      <w:r>
        <w:rPr>
          <w:rFonts w:ascii="Twentieth Century" w:hAnsi="Twentieth Century" w:eastAsia="Twentieth Century" w:cs="Twentieth Century"/>
          <w:color w:val="00B050"/>
          <w:sz w:val="24"/>
          <w:szCs w:val="24"/>
        </w:rPr>
        <w:t xml:space="preserve">del ASHTAG [Anexo II, párrafo 1(b)], el texto relativo al desarrollo de metodologías, en particular el uso de </w:t>
      </w:r>
      <w:r>
        <w:rPr>
          <w:rFonts w:ascii="Twentieth Century" w:hAnsi="Twentieth Century" w:eastAsia="Twentieth Century" w:cs="Twentieth Century"/>
          <w:color w:val="00B050"/>
          <w:sz w:val="24"/>
          <w:szCs w:val="24"/>
        </w:rPr>
        <w:t xml:space="preserve">desgloses</w:t>
      </w:r>
      <w:r>
        <w:rPr>
          <w:rFonts w:ascii="Twentieth Century" w:hAnsi="Twentieth Century" w:eastAsia="Twentieth Century" w:cs="Twentieth Century"/>
          <w:color w:val="00B050"/>
          <w:sz w:val="24"/>
          <w:szCs w:val="24"/>
        </w:rPr>
        <w:t xml:space="preserve">, para evaluar si las brechas en el monitoreo se deben a la disponibilidad de datos, la capacidad técnica u otras barreras para la presentación de informes. </w:t>
      </w:r>
      <w:r>
        <w:rPr>
          <w:rFonts w:ascii="Twentieth Century" w:hAnsi="Twentieth Century" w:eastAsia="Twentieth Century" w:cs="Twentieth Century"/>
          <w:sz w:val="24"/>
          <w:szCs w:val="24"/>
        </w:rPr>
        <w:t xml:space="preserve">El Informe Global señala la información incompleta sobre las tendencias específicas de los biomas o ecosistemas, lo cual es un medio clave para orientar las inversiones en el desarrollo de capacidades, el perfeccionamiento metodológico y otros aspectos. Sin embargo, también hay referencias a la presentación de indicadores nacionales o independientes que constituirían </w:t>
      </w:r>
      <w:r>
        <w:rPr>
          <w:rFonts w:ascii="Twentieth Century" w:hAnsi="Twentieth Century" w:eastAsia="Twentieth Century" w:cs="Twentieth Century"/>
          <w:sz w:val="24"/>
          <w:szCs w:val="24"/>
        </w:rPr>
        <w:t xml:space="preserve">desgloses </w:t>
      </w:r>
      <w:r>
        <w:rPr>
          <w:rFonts w:ascii="Twentieth Century" w:hAnsi="Twentieth Century" w:eastAsia="Twentieth Century" w:cs="Twentieth Century"/>
          <w:sz w:val="24"/>
          <w:szCs w:val="24"/>
        </w:rPr>
        <w:t xml:space="preserve">de los indicadores principales. Esto merece un análisis más profundo y recomendaciones claras, que podrían ser objeto de consideración por parte de cualquier grupo de expertos posterior a la COP17. Cuando las limitaciones metodológicas y de datos obstaculicen la presentación de informes sobre amenazas clave para la biodiversidad (como la contaminación del agua y el indicador 7.1), es posible que necesitemos más orientación técnica sobre cómo abordar estos desafíos. </w:t>
      </w:r>
    </w:p>
    <w:p w:rsidR="009C0A0D" w:rsidRDefault="00000000" w14:paraId="6A456D52"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047FCA92" w14:textId="77777777">
      <w:pPr>
        <w:pStyle w:val="Heading1"/>
        <w:rPr>
          <w:shd w:val="clear" w:color="auto" w:fill="C6C6C6"/>
        </w:rPr>
      </w:pPr>
      <w:bookmarkStart w:name="_8e8bffr3p28l" w:colFirst="0" w:colLast="0" w:id="5"/>
      <w:bookmarkEnd w:id="5"/>
      <w:r>
        <w:t xml:space="preserve">Punto 13 del orden del día: «Cooperación con otras convenciones y organizaciones internacionales» </w:t>
      </w:r>
    </w:p>
    <w:p w:rsidR="009C0A0D" w:rsidRDefault="00000000" w14:paraId="358AE61B"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Borrador actual de decisión: </w:t>
      </w:r>
      <w:hyperlink r:id="rId19">
        <w:r>
          <w:rPr>
            <w:rFonts w:ascii="Twentieth Century" w:hAnsi="Twentieth Century" w:eastAsia="Twentieth Century" w:cs="Twentieth Century"/>
            <w:i/>
            <w:iCs/>
            <w:color w:val="0563C1"/>
            <w:sz w:val="24"/>
            <w:szCs w:val="24"/>
            <w:u w:val="single"/>
          </w:rPr>
          <w:t xml:space="preserve">SBI/REC/6/6</w:t>
        </w:r>
      </w:hyperlink>
      <w:r>
        <w:rPr>
          <w:rFonts w:ascii="Twentieth Century" w:hAnsi="Twentieth Century" w:eastAsia="Twentieth Century" w:cs="Twentieth Century"/>
          <w:sz w:val="24"/>
          <w:szCs w:val="24"/>
          <w:shd w:val="clear" w:color="auto" w:fill="C6C6C6"/>
        </w:rPr>
        <w:t xml:space="preserve"> </w:t>
      </w:r>
    </w:p>
    <w:p w:rsidR="009C0A0D" w:rsidRDefault="00000000" w14:paraId="2CAA73F3" w14:textId="77777777">
      <w:pPr>
        <w:shd w:val="clear" w:color="auto" w:fill="FFFFFF"/>
        <w:spacing w:line="240" w:lineRule="auto"/>
        <w:rPr>
          <w:rFonts w:ascii="Twentieth Century" w:hAnsi="Twentieth Century" w:eastAsia="Twentieth Century" w:cs="Twentieth Century"/>
          <w:i/>
          <w:iCs/>
          <w:sz w:val="24"/>
          <w:szCs w:val="24"/>
        </w:rPr>
      </w:pPr>
      <w:r>
        <w:rPr>
          <w:rFonts w:ascii="Twentieth Century" w:hAnsi="Twentieth Century" w:eastAsia="Twentieth Century" w:cs="Twentieth Century"/>
          <w:i/>
          <w:iCs/>
          <w:sz w:val="24"/>
          <w:szCs w:val="24"/>
        </w:rPr>
        <w:t xml:space="preserve">Informe de avance sobre biodiversidad y cambio climático: </w:t>
      </w:r>
      <w:hyperlink r:id="rId20">
        <w:r>
          <w:rPr>
            <w:rFonts w:ascii="Twentieth Century" w:hAnsi="Twentieth Century" w:eastAsia="Twentieth Century" w:cs="Twentieth Century"/>
            <w:i/>
            <w:iCs/>
            <w:color w:val="1155CC"/>
            <w:sz w:val="24"/>
            <w:szCs w:val="24"/>
            <w:u w:val="single"/>
          </w:rPr>
          <w:t xml:space="preserve">COP/17/11</w:t>
        </w:r>
      </w:hyperlink>
    </w:p>
    <w:p w:rsidR="009C0A0D" w:rsidRDefault="009C0A0D" w14:paraId="222EF876" w14:textId="77777777">
      <w:pPr>
        <w:shd w:val="clear" w:color="auto" w:fill="FFFFFF"/>
        <w:spacing w:line="240" w:lineRule="auto"/>
        <w:rPr>
          <w:rFonts w:ascii="Twentieth Century" w:hAnsi="Twentieth Century" w:eastAsia="Twentieth Century" w:cs="Twentieth Century"/>
          <w:sz w:val="20"/>
          <w:szCs w:val="20"/>
          <w:shd w:val="clear" w:color="auto" w:fill="C6C6C6"/>
        </w:rPr>
      </w:pPr>
    </w:p>
    <w:p w:rsidR="009C0A0D" w:rsidRDefault="00000000" w14:paraId="7EFE8FC5"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cuanto al proyecto de decisión de la COP17, recomendamos que las Partes: </w:t>
      </w:r>
    </w:p>
    <w:p w:rsidR="009C0A0D" w:rsidRDefault="009C0A0D" w14:paraId="06DE6EA8"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1E47E0B3"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highlight w:val="white"/>
        </w:rPr>
        <w:lastRenderedPageBreak/>
      </w:r>
      <w:r>
        <w:rPr>
          <w:rFonts w:ascii="Twentieth Century" w:hAnsi="Twentieth Century" w:eastAsia="Twentieth Century" w:cs="Twentieth Century"/>
          <w:b/>
          <w:bCs/>
          <w:color w:val="0070C0"/>
          <w:sz w:val="24"/>
          <w:szCs w:val="24"/>
          <w:highlight w:val="white"/>
        </w:rPr>
        <w:t xml:space="preserve">Modificar </w:t>
      </w:r>
      <w:r>
        <w:rPr>
          <w:rFonts w:ascii="Twentieth Century" w:hAnsi="Twentieth Century" w:eastAsia="Twentieth Century" w:cs="Twentieth Century"/>
          <w:color w:val="0070C0"/>
          <w:sz w:val="24"/>
          <w:szCs w:val="24"/>
          <w:highlight w:val="white"/>
        </w:rPr>
        <w:t xml:space="preserve">el texto provisional de la OP11 para dar la bienvenida a la hoja de ruta de múltiples niveles. </w:t>
      </w:r>
      <w:r>
        <w:rPr>
          <w:rFonts w:ascii="Twentieth Century" w:hAnsi="Twentieth Century" w:eastAsia="Twentieth Century" w:cs="Twentieth Century"/>
          <w:sz w:val="24"/>
          <w:szCs w:val="24"/>
          <w:highlight w:val="white"/>
        </w:rPr>
        <w:t xml:space="preserve">Una hoja de ruta de múltiples niveles con opciones para mejorar la coherencia de las políticas es un documento concreto y viable que las Partes pueden seguir analizando. El trabajo realizado en el documento publicado en </w:t>
      </w:r>
      <w:hyperlink r:id="rId21">
        <w:r>
          <w:rPr>
            <w:rFonts w:ascii="Twentieth Century" w:hAnsi="Twentieth Century" w:eastAsia="Twentieth Century" w:cs="Twentieth Century"/>
            <w:color w:val="1155CC"/>
            <w:sz w:val="24"/>
            <w:szCs w:val="24"/>
            <w:highlight w:val="white"/>
            <w:u w:val="single"/>
          </w:rPr>
          <w:t xml:space="preserve">la COP/17/11</w:t>
        </w:r>
      </w:hyperlink>
      <w:r>
        <w:rPr>
          <w:rFonts w:ascii="Twentieth Century" w:hAnsi="Twentieth Century" w:eastAsia="Twentieth Century" w:cs="Twentieth Century"/>
          <w:sz w:val="24"/>
          <w:szCs w:val="24"/>
          <w:highlight w:val="white"/>
        </w:rPr>
        <w:t xml:space="preserve"> fue valioso y refleja el aporte de los expertos. Esto debería servir de base para una mayor cooperación.  </w:t>
      </w:r>
    </w:p>
    <w:p w:rsidR="009C0A0D" w:rsidRDefault="00000000" w14:paraId="4683F94F"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70C0"/>
          <w:sz w:val="24"/>
          <w:szCs w:val="24"/>
          <w:highlight w:val="white"/>
        </w:rPr>
        <w:t xml:space="preserve">Modificar </w:t>
      </w:r>
      <w:r>
        <w:rPr>
          <w:rFonts w:ascii="Twentieth Century" w:hAnsi="Twentieth Century" w:eastAsia="Twentieth Century" w:cs="Twentieth Century"/>
          <w:color w:val="0070C0"/>
          <w:sz w:val="24"/>
          <w:szCs w:val="24"/>
          <w:highlight w:val="white"/>
        </w:rPr>
        <w:t xml:space="preserve">el texto de las solicitudes dirigidas al Secretario Ejecutivo en el OP16(c) para incluir la hoja de ruta de múltiples niveles en las actividades de divulgación dirigidas a las Secretarías de las Convenciones de Río. </w:t>
      </w:r>
      <w:r>
        <w:rPr>
          <w:rFonts w:ascii="Twentieth Century" w:hAnsi="Twentieth Century" w:eastAsia="Twentieth Century" w:cs="Twentieth Century"/>
          <w:sz w:val="24"/>
          <w:szCs w:val="24"/>
          <w:highlight w:val="white"/>
        </w:rPr>
        <w:t xml:space="preserve">Si bien las Partes del CDB no pueden decidir por las Partes de las otras Convenciones de Río en Ereván, sí pueden garantizar que esta Convención haga todo lo posible por buscar una mayor cooperación, eficiencia y un trabajo técnico que se refuerce mutuamente. Compartir la hoja de ruta de múltiples niveles es una forma de impulsar las conversaciones basadas en una propuesta concreta. También se pueden extraer elementos o discutirlos de manera abstracta. </w:t>
      </w:r>
    </w:p>
    <w:p w:rsidR="009C0A0D" w:rsidRDefault="009C0A0D" w14:paraId="50003413"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2DA97B7" w14:textId="77777777">
      <w:pPr>
        <w:pStyle w:val="Heading1"/>
        <w:rPr>
          <w:shd w:val="clear" w:color="auto" w:fill="C6C6C6"/>
        </w:rPr>
      </w:pPr>
      <w:bookmarkStart w:name="_55d2dkya2trc" w:colFirst="0" w:colLast="0" w:id="6"/>
      <w:bookmarkEnd w:id="6"/>
      <w:r>
        <w:t xml:space="preserve">Punto 17(c) del orden del día: «Revisión estratégica y actualizaciones del </w:t>
      </w:r>
      <w:r>
        <w:t xml:space="preserve">programa </w:t>
      </w:r>
      <w:r>
        <w:t xml:space="preserve">de trabajo sobre áreas protegidas» </w:t>
      </w:r>
    </w:p>
    <w:p w:rsidR="009C0A0D" w:rsidRDefault="00000000" w14:paraId="06FB2705"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Borrador actual de la decisión: </w:t>
      </w:r>
      <w:hyperlink r:id="rId22">
        <w:r>
          <w:rPr>
            <w:rFonts w:ascii="Twentieth Century" w:hAnsi="Twentieth Century" w:eastAsia="Twentieth Century" w:cs="Twentieth Century"/>
            <w:i/>
            <w:iCs/>
            <w:color w:val="0070C0"/>
            <w:sz w:val="24"/>
            <w:szCs w:val="24"/>
            <w:u w:val="single"/>
          </w:rPr>
          <w:t xml:space="preserve">SBSTTA/REC/28/5</w:t>
        </w:r>
      </w:hyperlink>
    </w:p>
    <w:p w:rsidR="009C0A0D" w:rsidRDefault="009C0A0D" w14:paraId="6C148EA1" w14:textId="77777777">
      <w:pPr>
        <w:spacing w:line="240" w:lineRule="auto"/>
        <w:rPr>
          <w:rFonts w:ascii="Twentieth Century" w:hAnsi="Twentieth Century" w:eastAsia="Twentieth Century" w:cs="Twentieth Century"/>
          <w:sz w:val="24"/>
          <w:szCs w:val="24"/>
          <w:shd w:val="clear" w:color="auto" w:fill="C6C6C6"/>
        </w:rPr>
      </w:pPr>
    </w:p>
    <w:p w:rsidR="009C0A0D" w:rsidRDefault="00000000" w14:paraId="6BB0AFF2"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cuanto al proyecto de decisión de la CoP17, recomendamos que las Partes: </w:t>
      </w:r>
    </w:p>
    <w:p w:rsidR="009C0A0D" w:rsidRDefault="009C0A0D" w14:paraId="745AC1AF"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8C550A2"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Mantengan </w:t>
      </w:r>
      <w:r>
        <w:rPr>
          <w:rFonts w:ascii="Twentieth Century" w:hAnsi="Twentieth Century" w:eastAsia="Twentieth Century" w:cs="Twentieth Century"/>
          <w:color w:val="00B050"/>
          <w:sz w:val="24"/>
          <w:szCs w:val="24"/>
        </w:rPr>
        <w:t xml:space="preserve">el texto del párrafo operativo 14(c)(ii) en el que se insta a la Secretaría a recopilar perspectivas sobre las lecciones aprendidas con respecto a la Meta 3 y a </w:t>
      </w:r>
      <w:r>
        <w:rPr>
          <w:rFonts w:ascii="Twentieth Century" w:hAnsi="Twentieth Century" w:eastAsia="Twentieth Century" w:cs="Twentieth Century"/>
          <w:i/>
          <w:iCs/>
          <w:color w:val="00B050"/>
          <w:sz w:val="24"/>
          <w:szCs w:val="24"/>
        </w:rPr>
        <w:t xml:space="preserve">la «integridad</w:t>
      </w:r>
      <w:r>
        <w:rPr>
          <w:rFonts w:ascii="Twentieth Century" w:hAnsi="Twentieth Century" w:eastAsia="Twentieth Century" w:cs="Twentieth Century"/>
          <w:i/>
          <w:iCs/>
          <w:color w:val="00B050"/>
          <w:sz w:val="24"/>
          <w:szCs w:val="24"/>
        </w:rPr>
        <w:t xml:space="preserve"> ecológica</w:t>
      </w:r>
      <w:r>
        <w:rPr>
          <w:rFonts w:ascii="Twentieth Century" w:hAnsi="Twentieth Century" w:eastAsia="Twentieth Century" w:cs="Twentieth Century"/>
          <w:i/>
          <w:iCs/>
          <w:color w:val="00B050"/>
          <w:sz w:val="24"/>
          <w:szCs w:val="24"/>
        </w:rPr>
        <w:t xml:space="preserve">... </w:t>
      </w:r>
      <w:r>
        <w:rPr>
          <w:rFonts w:ascii="Twentieth Century" w:hAnsi="Twentieth Century" w:eastAsia="Twentieth Century" w:cs="Twentieth Century"/>
          <w:i/>
          <w:iCs/>
          <w:color w:val="00B050"/>
          <w:sz w:val="24"/>
          <w:szCs w:val="24"/>
        </w:rPr>
        <w:t xml:space="preserve">y</w:t>
      </w:r>
      <w:r>
        <w:rPr>
          <w:rFonts w:ascii="Twentieth Century" w:hAnsi="Twentieth Century" w:eastAsia="Twentieth Century" w:cs="Twentieth Century"/>
          <w:i/>
          <w:iCs/>
          <w:color w:val="00B050"/>
          <w:sz w:val="24"/>
          <w:szCs w:val="24"/>
        </w:rPr>
        <w:t xml:space="preserve"> la resil</w:t>
      </w:r>
      <w:r>
        <w:rPr>
          <w:rFonts w:ascii="Twentieth Century" w:hAnsi="Twentieth Century" w:eastAsia="Twentieth Century" w:cs="Twentieth Century"/>
          <w:i/>
          <w:iCs/>
          <w:color w:val="00B050"/>
          <w:sz w:val="24"/>
          <w:szCs w:val="24"/>
        </w:rPr>
        <w:t xml:space="preserve">iencia</w:t>
      </w:r>
      <w:r>
        <w:rPr>
          <w:rFonts w:ascii="Twentieth Century" w:hAnsi="Twentieth Century" w:eastAsia="Twentieth Century" w:cs="Twentieth Century"/>
          <w:i/>
          <w:iCs/>
          <w:color w:val="00B050"/>
          <w:sz w:val="24"/>
          <w:szCs w:val="24"/>
        </w:rPr>
        <w:t xml:space="preserve">... incluso en el contexto del cambio climático». </w:t>
      </w:r>
      <w:r>
        <w:rPr>
          <w:rFonts w:ascii="Twentieth Century" w:hAnsi="Twentieth Century" w:eastAsia="Twentieth Century" w:cs="Twentieth Century"/>
          <w:sz w:val="24"/>
          <w:szCs w:val="24"/>
        </w:rPr>
        <w:t xml:space="preserve">Es fundamental que nuestros esfuerzos por establecer, gestionar, monitorear e informar sobre las medidas de conservación basadas en áreas se mantengan enfocados en los objetivos a largo plazo del KM-GBF. Sin integrar las medidas basadas en áreas en estrategias más amplias de conservación de ecosistemas, y sin considerar los impactos del cambio climático en esas estrategias más amplias, las medidas individuales a corto plazo estarán destinadas al fracaso. Este es un proceso esencial para recabar las opiniones de las Partes, lo cual también puede servir de base para el Congreso Mundial sobre Áreas Protegidas y Conservadas que convocarán el Gobierno de Panamá y la UICN en 2027. </w:t>
      </w:r>
    </w:p>
    <w:p w:rsidR="009C0A0D" w:rsidRDefault="00000000" w14:paraId="24B32CA5"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70C0"/>
          <w:sz w:val="24"/>
          <w:szCs w:val="24"/>
        </w:rPr>
        <w:t xml:space="preserve">Modificar </w:t>
      </w:r>
      <w:r>
        <w:rPr>
          <w:rFonts w:ascii="Twentieth Century" w:hAnsi="Twentieth Century" w:eastAsia="Twentieth Century" w:cs="Twentieth Century"/>
          <w:color w:val="0070C0"/>
          <w:sz w:val="24"/>
          <w:szCs w:val="24"/>
        </w:rPr>
        <w:t xml:space="preserve">el texto del OP6, subpárrafo (c)(v), para instar a un mayor análisis de las conexiones entre la naturaleza y la cultura. </w:t>
      </w:r>
      <w:r>
        <w:rPr>
          <w:rFonts w:ascii="Twentieth Century" w:hAnsi="Twentieth Century" w:eastAsia="Twentieth Century" w:cs="Twentieth Century"/>
          <w:sz w:val="24"/>
          <w:szCs w:val="24"/>
        </w:rPr>
        <w:t xml:space="preserve">Falta un aspecto clave en este </w:t>
      </w:r>
      <w:r>
        <w:rPr>
          <w:rFonts w:ascii="Twentieth Century" w:hAnsi="Twentieth Century" w:eastAsia="Twentieth Century" w:cs="Twentieth Century"/>
          <w:sz w:val="24"/>
          <w:szCs w:val="24"/>
        </w:rPr>
        <w:t xml:space="preserve">programa </w:t>
      </w:r>
      <w:r>
        <w:rPr>
          <w:rFonts w:ascii="Twentieth Century" w:hAnsi="Twentieth Century" w:eastAsia="Twentieth Century" w:cs="Twentieth Century"/>
          <w:sz w:val="24"/>
          <w:szCs w:val="24"/>
        </w:rPr>
        <w:t xml:space="preserve">de trabajo: la conexión entre el KM-GBF y la gestión de los vínculos y la integridad bioculturales, que a menudo se gestiona en colaboración con los ministerios de Cultura y otros. En una era de recursos cada vez más escasos, el poder de las conexiones entre la naturaleza y la cultura puede y debe potenciarse, aprovechando el trabajo y la experiencia acumulados en el marco de instrumentos como la Convención del Patrimonio Mundial. </w:t>
      </w:r>
    </w:p>
    <w:p w:rsidR="009C0A0D" w:rsidRDefault="00000000" w14:paraId="08C48EF6"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Mantener </w:t>
      </w:r>
      <w:r>
        <w:rPr>
          <w:rFonts w:ascii="Twentieth Century" w:hAnsi="Twentieth Century" w:eastAsia="Twentieth Century" w:cs="Twentieth Century"/>
          <w:color w:val="00B050"/>
          <w:sz w:val="24"/>
          <w:szCs w:val="24"/>
        </w:rPr>
        <w:t xml:space="preserve">[eliminar los corchetes] el texto del OP 14(c)(iii) en consonancia con los principios de no contacto, intangibilidad y precaución. </w:t>
      </w:r>
      <w:r>
        <w:rPr>
          <w:rFonts w:ascii="Twentieth Century" w:hAnsi="Twentieth Century" w:eastAsia="Twentieth Century" w:cs="Twentieth Century"/>
          <w:color w:val="242424"/>
          <w:sz w:val="24"/>
          <w:szCs w:val="24"/>
        </w:rPr>
        <w:t xml:space="preserve">Los pueblos indígenas en aislamiento voluntario requieren una norma de no contacto como medio para respetar sus derechos a la libre determinación. </w:t>
      </w:r>
    </w:p>
    <w:p w:rsidR="009C0A0D" w:rsidRDefault="00000000" w14:paraId="77AD1EBF"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47818C1C" w14:textId="77777777">
      <w:pPr>
        <w:pStyle w:val="Heading1"/>
        <w:rPr>
          <w:shd w:val="clear" w:color="auto" w:fill="C6C6C6"/>
        </w:rPr>
      </w:pPr>
      <w:bookmarkStart w:name="_fqnycii1cmkc" w:colFirst="0" w:colLast="0" w:id="7"/>
      <w:bookmarkEnd w:id="7"/>
      <w:r>
        <w:t xml:space="preserve">Punto 17(d) del orden del día: «Áreas de posible trabajo adicional en el contexto del Marco» </w:t>
      </w:r>
    </w:p>
    <w:p w:rsidR="009C0A0D" w:rsidRDefault="00000000" w14:paraId="4FE8D846"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Borrador actual de la decisión: </w:t>
      </w:r>
      <w:hyperlink r:id="rId23">
        <w:r>
          <w:rPr>
            <w:rFonts w:ascii="Twentieth Century" w:hAnsi="Twentieth Century" w:eastAsia="Twentieth Century" w:cs="Twentieth Century"/>
            <w:i/>
            <w:iCs/>
            <w:color w:val="0563C1"/>
            <w:sz w:val="24"/>
            <w:szCs w:val="24"/>
            <w:u w:val="single"/>
          </w:rPr>
          <w:t xml:space="preserve">SBSTTA/REC/27/6</w:t>
        </w:r>
      </w:hyperlink>
      <w:r>
        <w:rPr>
          <w:rFonts w:ascii="Twentieth Century" w:hAnsi="Twentieth Century" w:eastAsia="Twentieth Century" w:cs="Twentieth Century"/>
          <w:sz w:val="24"/>
          <w:szCs w:val="24"/>
          <w:shd w:val="clear" w:color="auto" w:fill="C6C6C6"/>
        </w:rPr>
        <w:t xml:space="preserve"> </w:t>
      </w:r>
    </w:p>
    <w:p w:rsidR="009C0A0D" w:rsidRDefault="00000000" w14:paraId="32BDE7EC"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3A771131"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cuanto al proyecto de decisión de la CoP17, recomendamos que las Partes: </w:t>
      </w:r>
    </w:p>
    <w:p w:rsidR="009C0A0D" w:rsidRDefault="009C0A0D" w14:paraId="04DB5115"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6CC242A8" w14:textId="77777777">
      <w:pPr>
        <w:numPr>
          <w:ilvl w:val="0"/>
          <w:numId w:val="2"/>
        </w:numPr>
        <w:spacing w:line="240" w:lineRule="auto"/>
        <w:rPr>
          <w:rFonts w:ascii="Twentieth Century" w:hAnsi="Twentieth Century" w:eastAsia="Twentieth Century" w:cs="Twentieth Century"/>
        </w:rPr>
      </w:pPr>
      <w:r>
        <w:rPr>
          <w:rFonts w:ascii="Twentieth Century" w:hAnsi="Twentieth Century" w:eastAsia="Twentieth Century" w:cs="Twentieth Century"/>
          <w:b/>
          <w:bCs/>
          <w:color w:val="00B050"/>
          <w:sz w:val="24"/>
          <w:szCs w:val="24"/>
        </w:rPr>
        <w:t xml:space="preserve">Mantengan </w:t>
      </w:r>
      <w:r>
        <w:rPr>
          <w:rFonts w:ascii="Twentieth Century" w:hAnsi="Twentieth Century" w:eastAsia="Twentieth Century" w:cs="Twentieth Century"/>
          <w:color w:val="00B050"/>
          <w:sz w:val="24"/>
          <w:szCs w:val="24"/>
        </w:rPr>
        <w:t xml:space="preserve">el texto del Borrador de Decisión B. </w:t>
      </w:r>
      <w:r>
        <w:rPr>
          <w:rFonts w:ascii="Twentieth Century" w:hAnsi="Twentieth Century" w:eastAsia="Twentieth Century" w:cs="Twentieth Century"/>
          <w:sz w:val="24"/>
          <w:szCs w:val="24"/>
        </w:rPr>
        <w:t xml:space="preserve">La contaminación representa una amenaza crítica para </w:t>
      </w:r>
      <w:r>
        <w:rPr>
          <w:rFonts w:ascii="Twentieth Century" w:hAnsi="Twentieth Century" w:eastAsia="Twentieth Century" w:cs="Twentieth Century"/>
          <w:sz w:val="24"/>
          <w:szCs w:val="24"/>
        </w:rPr>
        <w:t xml:space="preserve">la biodiversidad y, </w:t>
      </w:r>
      <w:r>
        <w:rPr>
          <w:rFonts w:ascii="Twentieth Century" w:hAnsi="Twentieth Century" w:eastAsia="Twentieth Century" w:cs="Twentieth Century"/>
          <w:sz w:val="24"/>
          <w:szCs w:val="24"/>
        </w:rPr>
        <w:t xml:space="preserve">con frecuencia, vincula diferentes ámbitos ecológicos y autoridades de gestión (por ejemplo, la contaminación terrestre </w:t>
      </w:r>
      <w:hyperlink r:id="rId24">
        <w:r>
          <w:rPr>
            <w:rFonts w:ascii="Twentieth Century" w:hAnsi="Twentieth Century" w:eastAsia="Twentieth Century" w:cs="Twentieth Century"/>
            <w:color w:val="1155CC"/>
            <w:sz w:val="24"/>
            <w:szCs w:val="24"/>
            <w:u w:val="single"/>
          </w:rPr>
          <w:t xml:space="preserve">que afecta a</w:t>
        </w:r>
      </w:hyperlink>
      <w:r>
        <w:rPr>
          <w:rFonts w:ascii="Twentieth Century" w:hAnsi="Twentieth Century" w:eastAsia="Twentieth Century" w:cs="Twentieth Century"/>
          <w:sz w:val="24"/>
          <w:szCs w:val="24"/>
        </w:rPr>
        <w:t xml:space="preserve"> las áreas marinas protegidas). Este es un desafío único y apremiante para detener y revertir la pérdida de biodiversidad, y el CDB está en una posición idónea para invertir más en esta área. En caso de que </w:t>
      </w:r>
      <w:r>
        <w:rPr>
          <w:rFonts w:ascii="Twentieth Century" w:hAnsi="Twentieth Century" w:eastAsia="Twentieth Century" w:cs="Twentieth Century"/>
          <w:sz w:val="24"/>
          <w:szCs w:val="24"/>
        </w:rPr>
        <w:t xml:space="preserve">se mencionen formas </w:t>
      </w:r>
      <w:r>
        <w:rPr>
          <w:rFonts w:ascii="Twentieth Century" w:hAnsi="Twentieth Century" w:eastAsia="Twentieth Century" w:cs="Twentieth Century"/>
          <w:sz w:val="24"/>
          <w:szCs w:val="24"/>
        </w:rPr>
        <w:t xml:space="preserve">específicas </w:t>
      </w:r>
      <w:r>
        <w:rPr>
          <w:rFonts w:ascii="Twentieth Century" w:hAnsi="Twentieth Century" w:eastAsia="Twentieth Century" w:cs="Twentieth Century"/>
          <w:sz w:val="24"/>
          <w:szCs w:val="24"/>
        </w:rPr>
        <w:t xml:space="preserve">de contaminación, instamos a que se haga referencia a las aguas residuales, el ruido y otras formas de contaminación que afectan negativamente a las especies y los ecosistemas marinos.</w:t>
      </w:r>
    </w:p>
    <w:p w:rsidR="009C0A0D" w:rsidRDefault="009C0A0D" w14:paraId="7384116D" w14:textId="77777777">
      <w:pPr>
        <w:shd w:val="clear" w:color="auto" w:fill="FFFFFF"/>
        <w:spacing w:line="240" w:lineRule="auto"/>
        <w:rPr>
          <w:rFonts w:ascii="Twentieth Century" w:hAnsi="Twentieth Century" w:eastAsia="Twentieth Century" w:cs="Twentieth Century"/>
          <w:i/>
          <w:iCs/>
          <w:sz w:val="24"/>
          <w:szCs w:val="24"/>
        </w:rPr>
      </w:pPr>
    </w:p>
    <w:p w:rsidR="009C0A0D" w:rsidRDefault="00000000" w14:paraId="2C9D801B" w14:textId="77777777">
      <w:pPr>
        <w:pStyle w:val="Heading1"/>
        <w:rPr>
          <w:shd w:val="clear" w:color="auto" w:fill="C6C6C6"/>
        </w:rPr>
      </w:pPr>
      <w:bookmarkStart w:name="_grh24veb2skd" w:colFirst="0" w:colLast="0" w:id="8"/>
      <w:bookmarkEnd w:id="8"/>
      <w:r>
        <w:t xml:space="preserve">Punto 18(a) del orden del día: «Biodiversidad y cambio climático» </w:t>
      </w:r>
    </w:p>
    <w:p w:rsidR="009C0A0D" w:rsidRDefault="00000000" w14:paraId="314848E0"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Proyecto de decisión de la COP 17: </w:t>
      </w:r>
      <w:hyperlink r:id="rId25">
        <w:r>
          <w:rPr>
            <w:rFonts w:ascii="Twentieth Century" w:hAnsi="Twentieth Century" w:eastAsia="Twentieth Century" w:cs="Twentieth Century"/>
            <w:i/>
            <w:iCs/>
            <w:color w:val="0563C1"/>
            <w:sz w:val="24"/>
            <w:szCs w:val="24"/>
            <w:u w:val="single"/>
          </w:rPr>
          <w:t xml:space="preserve">SBSTTA/REC/27/3</w:t>
        </w:r>
      </w:hyperlink>
      <w:r>
        <w:rPr>
          <w:rFonts w:ascii="Twentieth Century" w:hAnsi="Twentieth Century" w:eastAsia="Twentieth Century" w:cs="Twentieth Century"/>
          <w:sz w:val="24"/>
          <w:szCs w:val="24"/>
          <w:shd w:val="clear" w:color="auto" w:fill="C6C6C6"/>
        </w:rPr>
        <w:t xml:space="preserve"> </w:t>
      </w:r>
    </w:p>
    <w:p w:rsidR="009C0A0D" w:rsidRDefault="00000000" w14:paraId="3D2094A3"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Informe de avance sobre biodiversidad y cambio climático: </w:t>
      </w:r>
      <w:hyperlink r:id="rId26">
        <w:r>
          <w:rPr>
            <w:rFonts w:ascii="Twentieth Century" w:hAnsi="Twentieth Century" w:eastAsia="Twentieth Century" w:cs="Twentieth Century"/>
            <w:i/>
            <w:iCs/>
            <w:color w:val="1155CC"/>
            <w:sz w:val="24"/>
            <w:szCs w:val="24"/>
            <w:u w:val="single"/>
          </w:rPr>
          <w:t xml:space="preserve">COP/17/11</w:t>
        </w:r>
      </w:hyperlink>
    </w:p>
    <w:p w:rsidR="009C0A0D" w:rsidRDefault="00000000" w14:paraId="25F31432"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795A99FA"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cuanto al proyecto de decisión de la COP 17, recomendamos que las Partes: </w:t>
      </w:r>
    </w:p>
    <w:p w:rsidR="009C0A0D" w:rsidRDefault="009C0A0D" w14:paraId="23D20787"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4B779BB0"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B050"/>
          <w:sz w:val="24"/>
          <w:szCs w:val="24"/>
        </w:rPr>
        <w:t xml:space="preserve">Mantengan </w:t>
      </w:r>
      <w:r>
        <w:rPr>
          <w:rFonts w:ascii="Twentieth Century" w:hAnsi="Twentieth Century" w:eastAsia="Twentieth Century" w:cs="Twentieth Century"/>
          <w:color w:val="00B050"/>
          <w:sz w:val="24"/>
          <w:szCs w:val="24"/>
        </w:rPr>
        <w:t xml:space="preserve">el texto del párrafo operativo 6, subpárrafo (a) del proyecto de decisión de la COP 17, en particular el que se centra en la integridad de los ecosistemas. </w:t>
      </w:r>
      <w:r>
        <w:rPr>
          <w:rFonts w:ascii="Twentieth Century" w:hAnsi="Twentieth Century" w:eastAsia="Twentieth Century" w:cs="Twentieth Century"/>
          <w:sz w:val="24"/>
          <w:szCs w:val="24"/>
        </w:rPr>
        <w:t xml:space="preserve">En consonancia con las propuestas presentadas por </w:t>
      </w:r>
      <w:hyperlink r:id="rId27">
        <w:r>
          <w:rPr>
            <w:rFonts w:ascii="Twentieth Century" w:hAnsi="Twentieth Century" w:eastAsia="Twentieth Century" w:cs="Twentieth Century"/>
            <w:color w:val="0563C1"/>
            <w:sz w:val="24"/>
            <w:szCs w:val="24"/>
            <w:u w:val="single"/>
          </w:rPr>
          <w:t xml:space="preserve">Sudáfrica</w:t>
        </w:r>
      </w:hyperlink>
      <w:r>
        <w:t xml:space="preserve">, </w:t>
      </w:r>
      <w:hyperlink r:id="rId28">
        <w:r>
          <w:rPr>
            <w:rFonts w:ascii="Twentieth Century" w:hAnsi="Twentieth Century" w:eastAsia="Twentieth Century" w:cs="Twentieth Century"/>
            <w:color w:val="0563C1"/>
            <w:sz w:val="24"/>
            <w:szCs w:val="24"/>
            <w:u w:val="single"/>
          </w:rPr>
          <w:t xml:space="preserve">Colombia</w:t>
        </w:r>
      </w:hyperlink>
      <w:r>
        <w:t xml:space="preserve"> y </w:t>
      </w:r>
      <w:hyperlink r:id="rId29">
        <w:r>
          <w:rPr>
            <w:rFonts w:ascii="Twentieth Century" w:hAnsi="Twentieth Century" w:eastAsia="Twentieth Century" w:cs="Twentieth Century"/>
            <w:color w:val="0563C1"/>
            <w:sz w:val="24"/>
            <w:szCs w:val="24"/>
            <w:u w:val="single"/>
          </w:rPr>
          <w:t xml:space="preserve">Nueva Zelanda</w:t>
        </w:r>
      </w:hyperlink>
      <w:r>
        <w:rPr>
          <w:rFonts w:ascii="Twentieth Century" w:hAnsi="Twentieth Century" w:eastAsia="Twentieth Century" w:cs="Twentieth Century"/>
          <w:sz w:val="24"/>
          <w:szCs w:val="24"/>
        </w:rPr>
        <w:t xml:space="preserve">, es esencial que la integridad de los ecosistemas se considere un nexo clave para las acciones sinérgicas sobre la pérdida de biodiversidad y el cambio climático. La evidencia es clara: la integridad de los ecosistemas impulsa los servicios de regulación climática y genera beneficios externos de inversión tanto para la mitigación y la adaptación al cambio climático como para la recuperación de la biodiversidad. </w:t>
      </w:r>
    </w:p>
    <w:p w:rsidR="009C0A0D" w:rsidRDefault="00000000" w14:paraId="469C7A04"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70C0"/>
          <w:sz w:val="24"/>
          <w:szCs w:val="24"/>
        </w:rPr>
        <w:t xml:space="preserve">Modificar </w:t>
      </w:r>
      <w:r>
        <w:rPr>
          <w:rFonts w:ascii="Twentieth Century" w:hAnsi="Twentieth Century" w:eastAsia="Twentieth Century" w:cs="Twentieth Century"/>
          <w:color w:val="0070C0"/>
          <w:sz w:val="24"/>
          <w:szCs w:val="24"/>
        </w:rPr>
        <w:t xml:space="preserve">el texto del punto OP15 para solicitar que el Secretario Ejecutivo tome en consideración la hoja de ruta multinivel en la colaboración con contrapartes de otras Convenciones de Río, incluida la CMNUCC. </w:t>
      </w:r>
      <w:r>
        <w:rPr>
          <w:rFonts w:ascii="Twentieth Century" w:hAnsi="Twentieth Century" w:eastAsia="Twentieth Century" w:cs="Twentieth Century"/>
          <w:sz w:val="24"/>
          <w:szCs w:val="24"/>
        </w:rPr>
        <w:t xml:space="preserve">La hoja de ruta multinivel y sus elementos proporcionan una base concreta para un mayor debate entre las Partes de las diferentes Convenciones de Río, así como entre sus órganos rectores. </w:t>
      </w:r>
    </w:p>
    <w:p w:rsidR="009C0A0D" w:rsidRDefault="009C0A0D" w14:paraId="7C01C570"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6B005FA8" w14:textId="77777777">
      <w:pPr>
        <w:pStyle w:val="Heading1"/>
        <w:rPr>
          <w:shd w:val="clear" w:color="auto" w:fill="C6C6C6"/>
        </w:rPr>
      </w:pPr>
      <w:bookmarkStart w:name="_k6m2qky3qvb7" w:colFirst="0" w:colLast="0" w:id="9"/>
      <w:bookmarkEnd w:id="9"/>
      <w:r>
        <w:t xml:space="preserve">Punto 18(b) del orden del día: «Manejo sostenible de la vida silvestre» </w:t>
      </w:r>
    </w:p>
    <w:p w:rsidR="009C0A0D" w:rsidRDefault="00000000" w14:paraId="0862A78C"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Proyecto de decisión de la CoP17: </w:t>
      </w:r>
      <w:hyperlink r:id="rId30">
        <w:r>
          <w:rPr>
            <w:rFonts w:ascii="Twentieth Century" w:hAnsi="Twentieth Century" w:eastAsia="Twentieth Century" w:cs="Twentieth Century"/>
            <w:i/>
            <w:iCs/>
            <w:color w:val="0070C0"/>
            <w:sz w:val="24"/>
            <w:szCs w:val="24"/>
            <w:u w:val="single"/>
          </w:rPr>
          <w:t xml:space="preserve">SBSTTA/REC/28/4</w:t>
        </w:r>
      </w:hyperlink>
    </w:p>
    <w:p w:rsidR="009C0A0D" w:rsidRDefault="00000000" w14:paraId="4BC24E8C"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784C1C89"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Con respecto al proyecto de decisión de la CoP17, recomendamos que las Partes: </w:t>
      </w:r>
    </w:p>
    <w:p w:rsidR="009C0A0D" w:rsidRDefault="009C0A0D" w14:paraId="1AEF9F25"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75B90D27" w14:textId="77777777">
      <w:pPr>
        <w:numPr>
          <w:ilvl w:val="0"/>
          <w:numId w:val="1"/>
        </w:numPr>
        <w:spacing w:line="240" w:lineRule="auto"/>
        <w:rPr>
          <w:rFonts w:ascii="Twentieth Century" w:hAnsi="Twentieth Century" w:eastAsia="Twentieth Century" w:cs="Twentieth Century"/>
          <w:sz w:val="20"/>
          <w:szCs w:val="20"/>
        </w:rPr>
      </w:pPr>
      <w:r>
        <w:rPr>
          <w:rFonts w:ascii="Twentieth Century" w:hAnsi="Twentieth Century" w:eastAsia="Twentieth Century" w:cs="Twentieth Century"/>
          <w:b/>
          <w:bCs/>
          <w:color w:val="00B050"/>
          <w:sz w:val="24"/>
          <w:szCs w:val="24"/>
        </w:rPr>
        <w:t xml:space="preserve">Mantengan </w:t>
      </w:r>
      <w:r>
        <w:rPr>
          <w:rFonts w:ascii="Twentieth Century" w:hAnsi="Twentieth Century" w:eastAsia="Twentieth Century" w:cs="Twentieth Century"/>
          <w:color w:val="00B050"/>
          <w:sz w:val="24"/>
          <w:szCs w:val="24"/>
        </w:rPr>
        <w:t xml:space="preserve">los principios y las áreas temáticas incluidas en las orientaciones voluntarias, asegurando que el uso sostenible de la biodiversidad no afecte la integridad ecológica. </w:t>
      </w:r>
      <w:r>
        <w:rPr>
          <w:rFonts w:ascii="Twentieth Century" w:hAnsi="Twentieth Century" w:eastAsia="Twentieth Century" w:cs="Twentieth Century"/>
          <w:sz w:val="24"/>
          <w:szCs w:val="24"/>
        </w:rPr>
        <w:t xml:space="preserve">La implementación fragmentada y/o los impactos acumulativos imprevistos son un factor clave del colapso de los ecosistemas. El área temática de las orientaciones sobre la integridad ecológica, incluidas las salvaguardias de que la gestión sostenible de la vida silvestre </w:t>
      </w:r>
      <w:r>
        <w:rPr>
          <w:rFonts w:ascii="Twentieth Century" w:hAnsi="Twentieth Century" w:eastAsia="Twentieth Century" w:cs="Twentieth Century"/>
          <w:i/>
          <w:iCs/>
          <w:sz w:val="24"/>
          <w:szCs w:val="24"/>
        </w:rPr>
        <w:t xml:space="preserve">«debe mantener la integridad de los ecosistemas y la biodiversidad, asegurando que la gestión no resulte en la degradación a largo plazo del hábitat, la pérdida de la función de los ecosistemas o la introducción y propagación de especies exóticas invasoras», </w:t>
      </w:r>
      <w:r>
        <w:rPr>
          <w:rFonts w:ascii="Twentieth Century" w:hAnsi="Twentieth Century" w:eastAsia="Twentieth Century" w:cs="Twentieth Century"/>
          <w:sz w:val="24"/>
          <w:szCs w:val="24"/>
        </w:rPr>
        <w:t xml:space="preserve">es una barrera de protección esencial para garantizar que el uso sostenible sea verdaderamente sostenible.</w:t>
      </w:r>
    </w:p>
    <w:p w:rsidR="009C0A0D" w:rsidRDefault="00000000" w14:paraId="573A92A5" w14:textId="77777777">
      <w:pPr>
        <w:numPr>
          <w:ilvl w:val="0"/>
          <w:numId w:val="1"/>
        </w:numPr>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b/>
          <w:bCs/>
          <w:color w:val="0070C0"/>
          <w:sz w:val="24"/>
          <w:szCs w:val="24"/>
        </w:rPr>
        <w:t xml:space="preserve">Modificar </w:t>
      </w:r>
      <w:r>
        <w:rPr>
          <w:rFonts w:ascii="Twentieth Century" w:hAnsi="Twentieth Century" w:eastAsia="Twentieth Century" w:cs="Twentieth Century"/>
          <w:color w:val="0070C0"/>
          <w:sz w:val="24"/>
          <w:szCs w:val="24"/>
        </w:rPr>
        <w:t xml:space="preserve">el texto para agregar el Consentimiento Libre, Previo e Informado (CLPI) en </w:t>
      </w:r>
      <w:r>
        <w:rPr>
          <w:rFonts w:ascii="Twentieth Century" w:hAnsi="Twentieth Century" w:eastAsia="Twentieth Century" w:cs="Twentieth Century"/>
          <w:sz w:val="24"/>
          <w:szCs w:val="24"/>
        </w:rPr>
        <w:t xml:space="preserve">el Párrafo</w:t>
      </w:r>
      <w:r>
        <w:rPr>
          <w:rFonts w:ascii="Twentieth Century" w:hAnsi="Twentieth Century" w:eastAsia="Twentieth Century" w:cs="Twentieth Century"/>
          <w:color w:val="0070C0"/>
          <w:sz w:val="24"/>
          <w:szCs w:val="24"/>
        </w:rPr>
        <w:t xml:space="preserve"> Operativo 2</w:t>
      </w:r>
      <w:r>
        <w:rPr>
          <w:rFonts w:ascii="Twentieth Century" w:hAnsi="Twentieth Century" w:eastAsia="Twentieth Century" w:cs="Twentieth Century"/>
          <w:color w:val="00B050"/>
          <w:sz w:val="24"/>
          <w:szCs w:val="24"/>
        </w:rPr>
        <w:t xml:space="preserve">. </w:t>
      </w:r>
      <w:r>
        <w:rPr>
          <w:rFonts w:ascii="Twentieth Century" w:hAnsi="Twentieth Century" w:eastAsia="Twentieth Century" w:cs="Twentieth Century"/>
          <w:sz w:val="24"/>
          <w:szCs w:val="24"/>
        </w:rPr>
        <w:t xml:space="preserve">El párrafo 23 de las directrices globales voluntarias sobre la gestión sostenible de la vida silvestre menciona explícitamente que los procesos de toma de decisiones deben regirse por </w:t>
      </w:r>
      <w:r>
        <w:rPr>
          <w:rFonts w:ascii="Twentieth Century" w:hAnsi="Twentieth Century" w:eastAsia="Twentieth Century" w:cs="Twentieth Century"/>
          <w:sz w:val="24"/>
          <w:szCs w:val="24"/>
        </w:rPr>
        <w:t xml:space="preserve">el consentimiento </w:t>
      </w:r>
      <w:r>
        <w:rPr>
          <w:rFonts w:ascii="Twentieth Century" w:hAnsi="Twentieth Century" w:eastAsia="Twentieth Century" w:cs="Twentieth Century"/>
          <w:sz w:val="24"/>
          <w:szCs w:val="24"/>
        </w:rPr>
        <w:t xml:space="preserve">libre, previo e informado</w:t>
      </w:r>
      <w:r>
        <w:rPr>
          <w:rFonts w:ascii="Twentieth Century" w:hAnsi="Twentieth Century" w:eastAsia="Twentieth Century" w:cs="Twentieth Century"/>
          <w:sz w:val="24"/>
          <w:szCs w:val="24"/>
        </w:rPr>
        <w:lastRenderedPageBreak/>
      </w:r>
      <w:r>
        <w:rPr>
          <w:rFonts w:ascii="Twentieth Century" w:hAnsi="Twentieth Century" w:eastAsia="Twentieth Century" w:cs="Twentieth Century"/>
          <w:sz w:val="24"/>
          <w:szCs w:val="24"/>
        </w:rPr>
        <w:t xml:space="preserve"> </w:t>
      </w:r>
      <w:r>
        <w:rPr>
          <w:rFonts w:ascii="Twentieth Century" w:hAnsi="Twentieth Century" w:eastAsia="Twentieth Century" w:cs="Twentieth Century"/>
          <w:sz w:val="24"/>
          <w:szCs w:val="24"/>
        </w:rPr>
        <w:t xml:space="preserve">, </w:t>
      </w:r>
      <w:r>
        <w:rPr>
          <w:rFonts w:ascii="Twentieth Century" w:hAnsi="Twentieth Century" w:eastAsia="Twentieth Century" w:cs="Twentieth Century"/>
          <w:sz w:val="24"/>
          <w:szCs w:val="24"/>
        </w:rPr>
        <w:t xml:space="preserve">tal como se indica a continuación: </w:t>
      </w:r>
      <w:r>
        <w:rPr>
          <w:rFonts w:ascii="Twentieth Century" w:hAnsi="Twentieth Century" w:eastAsia="Twentieth Century" w:cs="Twentieth Century"/>
          <w:i/>
          <w:iCs/>
          <w:sz w:val="24"/>
          <w:szCs w:val="24"/>
        </w:rPr>
        <w:t xml:space="preserve">«23. Los procesos de toma de decisiones que afecten al uso y la gestión de la vida silvestre deben regirse por el principio del consentimiento libre, previo e informado (CLPI), garantizando que los pueblos indígenas y las comunidades locales puedan participar de manera efectiva y tomar decisiones informadas a lo largo de los procesos de planificación, implementación, monitoreo y revisión». </w:t>
      </w:r>
      <w:r>
        <w:rPr>
          <w:rFonts w:ascii="Twentieth Century" w:hAnsi="Twentieth Century" w:eastAsia="Twentieth Century" w:cs="Twentieth Century"/>
          <w:sz w:val="24"/>
          <w:szCs w:val="24"/>
        </w:rPr>
        <w:t xml:space="preserve">Una referencia específica al CLPI en el contexto del párrafo operativo 2 incorporaría ese importante concepto a la decisión de la CoP. </w:t>
      </w:r>
    </w:p>
    <w:p w:rsidR="009C0A0D" w:rsidRDefault="009C0A0D" w14:paraId="7D1898FB" w14:textId="77777777">
      <w:pPr>
        <w:shd w:val="clear" w:color="auto" w:fill="FFFFFF"/>
        <w:spacing w:line="240" w:lineRule="auto"/>
        <w:rPr>
          <w:rFonts w:ascii="Twentieth Century" w:hAnsi="Twentieth Century" w:eastAsia="Twentieth Century" w:cs="Twentieth Century"/>
          <w:sz w:val="24"/>
          <w:szCs w:val="24"/>
          <w:shd w:val="clear" w:color="auto" w:fill="C6C6C6"/>
        </w:rPr>
      </w:pPr>
    </w:p>
    <w:p w:rsidR="009C0A0D" w:rsidRDefault="00000000" w14:paraId="33B1DB9B" w14:textId="77777777">
      <w:pPr>
        <w:pStyle w:val="Heading1"/>
        <w:rPr>
          <w:shd w:val="clear" w:color="auto" w:fill="C6C6C6"/>
        </w:rPr>
      </w:pPr>
      <w:bookmarkStart w:name="_wgymsuqvv2tw" w:colFirst="0" w:colLast="0" w:id="10"/>
      <w:bookmarkEnd w:id="10"/>
      <w:r>
        <w:t xml:space="preserve">Punto 18(d) del orden del día: «Biodiversidad y salud» </w:t>
      </w:r>
    </w:p>
    <w:p w:rsidR="009C0A0D" w:rsidRDefault="00000000" w14:paraId="49429DE7"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i/>
          <w:iCs/>
          <w:sz w:val="24"/>
          <w:szCs w:val="24"/>
        </w:rPr>
        <w:t xml:space="preserve">Proyecto de decisión de la CoP17: </w:t>
      </w:r>
      <w:hyperlink r:id="rId31">
        <w:r>
          <w:rPr>
            <w:rFonts w:ascii="Twentieth Century" w:hAnsi="Twentieth Century" w:eastAsia="Twentieth Century" w:cs="Twentieth Century"/>
            <w:i/>
            <w:iCs/>
            <w:color w:val="0563C1"/>
            <w:sz w:val="24"/>
            <w:szCs w:val="24"/>
            <w:u w:val="single"/>
          </w:rPr>
          <w:t xml:space="preserve">SBSTTA/REC/27/10</w:t>
        </w:r>
      </w:hyperlink>
      <w:r>
        <w:rPr>
          <w:rFonts w:ascii="Twentieth Century" w:hAnsi="Twentieth Century" w:eastAsia="Twentieth Century" w:cs="Twentieth Century"/>
          <w:sz w:val="24"/>
          <w:szCs w:val="24"/>
          <w:shd w:val="clear" w:color="auto" w:fill="C6C6C6"/>
        </w:rPr>
        <w:t xml:space="preserve"> </w:t>
      </w:r>
    </w:p>
    <w:p w:rsidR="009C0A0D" w:rsidRDefault="00000000" w14:paraId="1BB08388" w14:textId="77777777">
      <w:pPr>
        <w:shd w:val="clear" w:color="auto" w:fill="FFFFFF"/>
        <w:spacing w:line="240" w:lineRule="auto"/>
        <w:rPr>
          <w:rFonts w:ascii="Twentieth Century" w:hAnsi="Twentieth Century" w:eastAsia="Twentieth Century" w:cs="Twentieth Century"/>
          <w:i/>
          <w:iCs/>
          <w:color w:val="0070C0"/>
          <w:sz w:val="24"/>
          <w:szCs w:val="24"/>
        </w:rPr>
      </w:pPr>
      <w:r>
        <w:rPr>
          <w:rFonts w:ascii="Twentieth Century" w:hAnsi="Twentieth Century" w:eastAsia="Twentieth Century" w:cs="Twentieth Century"/>
          <w:i/>
          <w:iCs/>
          <w:sz w:val="24"/>
          <w:szCs w:val="24"/>
        </w:rPr>
        <w:t xml:space="preserve">Informe de avance de la Secretaría del CDB sobre biodiversidad y salud: </w:t>
      </w:r>
      <w:hyperlink r:id="rId32">
        <w:r>
          <w:rPr>
            <w:rFonts w:ascii="Twentieth Century" w:hAnsi="Twentieth Century" w:eastAsia="Twentieth Century" w:cs="Twentieth Century"/>
            <w:i/>
            <w:iCs/>
            <w:color w:val="0070C0"/>
            <w:sz w:val="24"/>
            <w:szCs w:val="24"/>
            <w:u w:val="single"/>
          </w:rPr>
          <w:t xml:space="preserve">COP/17/7</w:t>
        </w:r>
      </w:hyperlink>
    </w:p>
    <w:p w:rsidR="009C0A0D" w:rsidRDefault="00000000" w14:paraId="5DB2BF5D" w14:textId="77777777">
      <w:pPr>
        <w:shd w:val="clear" w:color="auto" w:fill="FFFFFF"/>
        <w:spacing w:line="240" w:lineRule="auto"/>
        <w:rPr>
          <w:rFonts w:ascii="Twentieth Century" w:hAnsi="Twentieth Century" w:eastAsia="Twentieth Century" w:cs="Twentieth Century"/>
          <w:sz w:val="24"/>
          <w:szCs w:val="24"/>
          <w:shd w:val="clear" w:color="auto" w:fill="C6C6C6"/>
        </w:rPr>
      </w:pPr>
      <w:r>
        <w:rPr>
          <w:rFonts w:ascii="Twentieth Century" w:hAnsi="Twentieth Century" w:eastAsia="Twentieth Century" w:cs="Twentieth Century"/>
          <w:sz w:val="24"/>
          <w:szCs w:val="24"/>
          <w:shd w:val="clear" w:color="auto" w:fill="C6C6C6"/>
        </w:rPr>
        <w:t xml:space="preserve"> </w:t>
      </w:r>
    </w:p>
    <w:p w:rsidR="009C0A0D" w:rsidRDefault="00000000" w14:paraId="2D642D26" w14:textId="77777777">
      <w:pPr>
        <w:shd w:val="clear" w:color="auto" w:fill="FFFFFF"/>
        <w:spacing w:line="240" w:lineRule="auto"/>
        <w:rPr>
          <w:rFonts w:ascii="Twentieth Century" w:hAnsi="Twentieth Century" w:eastAsia="Twentieth Century" w:cs="Twentieth Century"/>
          <w:i/>
          <w:iCs/>
          <w:color w:val="999999"/>
        </w:rPr>
      </w:pPr>
      <w:r>
        <w:rPr>
          <w:rFonts w:ascii="Twentieth Century" w:hAnsi="Twentieth Century" w:eastAsia="Twentieth Century" w:cs="Twentieth Century"/>
          <w:i/>
          <w:iCs/>
          <w:color w:val="999999"/>
        </w:rPr>
        <w:t xml:space="preserve">Nota: Se publicará en</w:t>
      </w:r>
      <w:hyperlink r:id="rId33">
        <w:r>
          <w:rPr>
            <w:rFonts w:ascii="Twentieth Century" w:hAnsi="Twentieth Century" w:eastAsia="Twentieth Century" w:cs="Twentieth Century"/>
            <w:i/>
            <w:iCs/>
            <w:color w:val="999999"/>
            <w:u w:val="single"/>
          </w:rPr>
          <w:t xml:space="preserve"> wcs.org/cbd</w:t>
        </w:r>
      </w:hyperlink>
      <w:r>
        <w:rPr>
          <w:rFonts w:ascii="Twentieth Century" w:hAnsi="Twentieth Century" w:eastAsia="Twentieth Century" w:cs="Twentieth Century"/>
          <w:i/>
          <w:iCs/>
          <w:color w:val="999999"/>
        </w:rPr>
        <w:t xml:space="preserve"> un documento de una página sobre la lista de indicadores recopilados en el anexo II del documento 17/7</w:t>
      </w:r>
      <w:r>
        <w:rPr>
          <w:rFonts w:ascii="Twentieth Century" w:hAnsi="Twentieth Century" w:eastAsia="Twentieth Century" w:cs="Twentieth Century"/>
          <w:i/>
          <w:iCs/>
          <w:color w:val="999999"/>
        </w:rPr>
        <w:t xml:space="preserve">. Sin embargo, reconocemos y apoyamos la realización de un taller de expertos antes de la próxima reunión del SBSTTA en 2027/2028. </w:t>
      </w:r>
    </w:p>
    <w:p w:rsidR="009C0A0D" w:rsidRDefault="009C0A0D" w14:paraId="7724E6E3"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5DBA9BBB" w14:textId="77777777">
      <w:pPr>
        <w:shd w:val="clear" w:color="auto" w:fill="FFFFFF"/>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sz w:val="24"/>
          <w:szCs w:val="24"/>
        </w:rPr>
        <w:t xml:space="preserve">En cuanto al proyecto de decisión de la COP 17, recomendamos que las Partes: </w:t>
      </w:r>
    </w:p>
    <w:p w:rsidR="009C0A0D" w:rsidRDefault="009C0A0D" w14:paraId="5AF54C25" w14:textId="77777777">
      <w:pPr>
        <w:shd w:val="clear" w:color="auto" w:fill="FFFFFF"/>
        <w:spacing w:line="240" w:lineRule="auto"/>
        <w:rPr>
          <w:rFonts w:ascii="Twentieth Century" w:hAnsi="Twentieth Century" w:eastAsia="Twentieth Century" w:cs="Twentieth Century"/>
          <w:sz w:val="24"/>
          <w:szCs w:val="24"/>
        </w:rPr>
      </w:pPr>
    </w:p>
    <w:p w:rsidR="009C0A0D" w:rsidRDefault="00000000" w14:paraId="0F7700E9" w14:textId="77777777">
      <w:pPr>
        <w:numPr>
          <w:ilvl w:val="0"/>
          <w:numId w:val="2"/>
        </w:numPr>
        <w:spacing w:line="240" w:lineRule="auto"/>
        <w:rPr>
          <w:rFonts w:ascii="Twentieth Century" w:hAnsi="Twentieth Century" w:eastAsia="Twentieth Century" w:cs="Twentieth Century"/>
          <w:i/>
          <w:iCs/>
        </w:rPr>
      </w:pPr>
      <w:r>
        <w:rPr>
          <w:rFonts w:ascii="Twentieth Century" w:hAnsi="Twentieth Century" w:eastAsia="Twentieth Century" w:cs="Twentieth Century"/>
          <w:b/>
          <w:bCs/>
          <w:color w:val="00B050"/>
          <w:sz w:val="24"/>
          <w:szCs w:val="24"/>
        </w:rPr>
        <w:t xml:space="preserve">Mantengan </w:t>
      </w:r>
      <w:r>
        <w:rPr>
          <w:rFonts w:ascii="Twentieth Century" w:hAnsi="Twentieth Century" w:eastAsia="Twentieth Century" w:cs="Twentieth Century"/>
          <w:color w:val="00B050"/>
          <w:sz w:val="24"/>
          <w:szCs w:val="24"/>
        </w:rPr>
        <w:t xml:space="preserve">[eliminen los corchetes del] texto del párrafo operativo 2 en el que se acoge con beneplácito el Acuerdo de la OMS sobre prevención, preparación y respuesta ante pandemias. </w:t>
      </w:r>
      <w:r>
        <w:rPr>
          <w:rFonts w:ascii="Twentieth Century" w:hAnsi="Twentieth Century" w:eastAsia="Twentieth Century" w:cs="Twentieth Century"/>
          <w:sz w:val="24"/>
          <w:szCs w:val="24"/>
        </w:rPr>
        <w:t xml:space="preserve">La adopción del Acuerdo de la OMS constituye un hito con implicaciones significativas para la gestión de la biodiversidad </w:t>
      </w:r>
      <w:r>
        <w:rPr>
          <w:rFonts w:ascii="Twentieth Century" w:hAnsi="Twentieth Century" w:eastAsia="Twentieth Century" w:cs="Twentieth Century"/>
          <w:sz w:val="24"/>
          <w:szCs w:val="24"/>
        </w:rPr>
        <w:t xml:space="preserve">con el fin de </w:t>
      </w:r>
      <w:r>
        <w:rPr>
          <w:rFonts w:ascii="Twentieth Century" w:hAnsi="Twentieth Century" w:eastAsia="Twentieth Century" w:cs="Twentieth Century"/>
          <w:sz w:val="24"/>
          <w:szCs w:val="24"/>
        </w:rPr>
        <w:t xml:space="preserve">prevenir la próxima pandemia de origen zoonótico. El Plan de Acción Global fue diseñado para ser compatible y complementario con las actividades contempladas en el Acuerdo de la OMS. Sin embargo, es esencial un mayor diálogo y apoyo a las Partes para garantizar que las estrategias relacionadas con la biodiversidad o relevantes para la prevención en el origen —o prevención profunda— se integren en las estrategias y planes nacionales de «Una sola salud».</w:t>
      </w:r>
    </w:p>
    <w:p w:rsidR="009C0A0D" w:rsidRDefault="00000000" w14:paraId="636A9979" w14:textId="77777777">
      <w:pPr>
        <w:numPr>
          <w:ilvl w:val="0"/>
          <w:numId w:val="2"/>
        </w:numPr>
        <w:spacing w:line="240" w:lineRule="auto"/>
        <w:rPr>
          <w:rFonts w:ascii="Twentieth Century" w:hAnsi="Twentieth Century" w:eastAsia="Twentieth Century" w:cs="Twentieth Century"/>
          <w:sz w:val="24"/>
          <w:szCs w:val="24"/>
        </w:rPr>
      </w:pPr>
      <w:r>
        <w:rPr>
          <w:rFonts w:ascii="Twentieth Century" w:hAnsi="Twentieth Century" w:eastAsia="Twentieth Century" w:cs="Twentieth Century"/>
          <w:b/>
          <w:bCs/>
          <w:color w:val="00B050"/>
          <w:sz w:val="24"/>
          <w:szCs w:val="24"/>
        </w:rPr>
        <w:t xml:space="preserve">Mantener </w:t>
      </w:r>
      <w:r>
        <w:rPr>
          <w:rFonts w:ascii="Twentieth Century" w:hAnsi="Twentieth Century" w:eastAsia="Twentieth Century" w:cs="Twentieth Century"/>
          <w:color w:val="00B050"/>
          <w:sz w:val="24"/>
          <w:szCs w:val="24"/>
        </w:rPr>
        <w:t xml:space="preserve">[eliminar los corchetes del] texto del Punto 7 del Orden del Día (OP7), en particular en el subpárrafo sin corchetes que solicita a la Secretaría que sintetice la información de las Partes sobre la implementación del Plan de Acción Global y la integración de los vínculos entre la biodiversidad y la salud.</w:t>
      </w:r>
      <w:r>
        <w:rPr>
          <w:rFonts w:ascii="Twentieth Century" w:hAnsi="Twentieth Century" w:eastAsia="Twentieth Century" w:cs="Twentieth Century"/>
          <w:sz w:val="24"/>
          <w:szCs w:val="24"/>
        </w:rPr>
        <w:t xml:space="preserve"> No existe un mecanismo formal de presentación de informes para el Plan de Acción Global, y este es un paso intermedio fundamental hasta que los indicadores y métricas puedan integrarse mejor en la implementación del KM-GBF y en el ciclo de planificación, monitoreo, presentación de informes y revisión. </w:t>
      </w:r>
    </w:p>
    <w:sectPr w:rsidR="009C0A0D">
      <w:headerReference w:type="default" r:id="rId34"/>
      <w:headerReference w:type="first" r:id="rId3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D75FC" w:rsidRDefault="003D75FC" w14:paraId="536E82BA" w14:textId="77777777">
      <w:pPr>
        <w:spacing w:line="240" w:lineRule="auto"/>
      </w:pPr>
      <w:r>
        <w:separator/>
      </w:r>
    </w:p>
  </w:endnote>
  <w:endnote w:type="continuationSeparator" w:id="0">
    <w:p w:rsidR="003D75FC" w:rsidRDefault="003D75FC" w14:paraId="1C54FB3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embedRegular r:id="rId1" w:fontKey="{2E14507B-7A16-C849-95F1-BA2CED573463}"/>
  </w:font>
  <w:font w:name="Times New Roman">
    <w:panose1 w:val="02020603050405020304"/>
    <w:charset w:val="00"/>
    <w:family w:val="roman"/>
    <w:pitch w:val="variable"/>
    <w:sig w:usb0="E0002EFF" w:usb1="C000785B" w:usb2="00000009" w:usb3="00000000" w:csb0="000001FF" w:csb1="00000000"/>
    <w:embedRegular r:id="rId2" w:fontKey="{89764957-54A2-C34C-8AE6-4E7942CF2D24}"/>
  </w:font>
  <w:font w:name="Arial">
    <w:panose1 w:val="020B0604020202020204"/>
    <w:charset w:val="00"/>
    <w:family w:val="swiss"/>
    <w:pitch w:val="variable"/>
    <w:sig w:usb0="E0002AFF" w:usb1="C0007843" w:usb2="00000009" w:usb3="00000000" w:csb0="000001FF" w:csb1="00000000"/>
    <w:embedRegular r:id="rId3" w:fontKey="{7C1987C3-A418-EE48-9462-BC0A0C668178}"/>
    <w:embedItalic r:id="rId4" w:fontKey="{55164545-9D5B-374A-9234-1DCDF06E6C7A}"/>
  </w:font>
  <w:font w:name="Twentieth Century">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41F8F5F5-BDCF-A441-9025-F7D66A2868B0}"/>
  </w:font>
  <w:font w:name="Cambria">
    <w:panose1 w:val="02040503050406030204"/>
    <w:charset w:val="00"/>
    <w:family w:val="roman"/>
    <w:pitch w:val="variable"/>
    <w:sig w:usb0="E00006FF" w:usb1="420024FF" w:usb2="02000000" w:usb3="00000000" w:csb0="0000019F" w:csb1="00000000"/>
    <w:embedRegular r:id="rId9" w:fontKey="{FF509B26-167D-344A-ADEF-C5EDB62C5F7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D75FC" w:rsidRDefault="003D75FC" w14:paraId="09D12794" w14:textId="77777777">
      <w:pPr>
        <w:spacing w:line="240" w:lineRule="auto"/>
      </w:pPr>
      <w:r>
        <w:separator/>
      </w:r>
    </w:p>
  </w:footnote>
  <w:footnote w:type="continuationSeparator" w:id="0">
    <w:p w:rsidR="003D75FC" w:rsidRDefault="003D75FC" w14:paraId="5BD43C13"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9C0A0D" w:rsidRDefault="00000000" w14:paraId="15151F6B" w14:textId="77777777">
    <w:pPr>
      <w:rPr>
        <w:rFonts w:ascii="Twentieth Century" w:hAnsi="Twentieth Century" w:eastAsia="Twentieth Century" w:cs="Twentieth Century"/>
        <w:color w:val="F9CB9C"/>
      </w:rPr>
    </w:pPr>
    <w:r>
      <w:rPr>
        <w:rFonts w:ascii="Twentieth Century" w:hAnsi="Twentieth Century" w:eastAsia="Twentieth Century" w:cs="Twentieth Century"/>
        <w:color w:val="F9CB9C"/>
      </w:rPr>
      <w:t xml:space="preserve">Actualizado: 9 de septiembre de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3444C9" w:rsidR="009C0A0D" w:rsidRDefault="003444C9" w14:paraId="02436478" w14:textId="2C70A13A">
    <w:pPr>
      <w:rPr>
        <w:rFonts w:ascii="Twentieth Century" w:hAnsi="Twentieth Century" w:eastAsia="Twentieth Century" w:cs="Twentieth Century"/>
        <w:color w:val="F9CB9C"/>
      </w:rPr>
    </w:pPr>
    <w:r w:rsidRPr="003444C9">
      <w:rPr>
        <w:rFonts w:ascii="Twentieth Century" w:hAnsi="Twentieth Century" w:eastAsia="Twentieth Century" w:cs="Twentieth Century"/>
        <w:color w:val="D99594" w:themeColor="accent2" w:themeTint="99"/>
      </w:rPr>
      <w:t xml:space="preserve">TRADUCCIÓN AUTOMÁTICA </w:t>
    </w:r>
    <w:r>
      <w:rPr>
        <w:rFonts w:ascii="Twentieth Century" w:hAnsi="Twentieth Century" w:eastAsia="Twentieth Century" w:cs="Twentieth Century"/>
        <w:color w:val="F9CB9C"/>
      </w:rPr>
      <w:t xml:space="preserve">-- </w:t>
    </w:r>
    <w:r w:rsidR="00000000">
      <w:rPr>
        <w:rFonts w:ascii="Twentieth Century" w:hAnsi="Twentieth Century" w:eastAsia="Twentieth Century" w:cs="Twentieth Century"/>
        <w:color w:val="F9CB9C"/>
      </w:rPr>
      <w:t xml:space="preserve">Actualizado: 30 de septiembre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9B1ED7"/>
    <w:multiLevelType w:val="multilevel"/>
    <w:tmpl w:val="8918EAA0"/>
    <w:lvl w:ilvl="0">
      <w:start w:val="1"/>
      <w:numFmt w:val="bullet"/>
      <w:lvlText w:val="●"/>
      <w:lvlJc w:val="left"/>
      <w:pPr>
        <w:ind w:left="720" w:hanging="360"/>
      </w:pPr>
      <w:rPr>
        <w:rFonts w:ascii="Verdana" w:eastAsia="Verdana" w:hAnsi="Verdana" w:cs="Verdana"/>
        <w:b w:val="0"/>
        <w:bCs w:val="0"/>
        <w:i w:val="0"/>
        <w:iCs w:val="0"/>
        <w:smallCaps w:val="0"/>
        <w:color w:val="000000"/>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87E3352"/>
    <w:multiLevelType w:val="multilevel"/>
    <w:tmpl w:val="0C0A3702"/>
    <w:lvl w:ilvl="0">
      <w:start w:val="1"/>
      <w:numFmt w:val="bullet"/>
      <w:lvlText w:val="●"/>
      <w:lvlJc w:val="left"/>
      <w:pPr>
        <w:ind w:left="720" w:hanging="360"/>
      </w:pPr>
      <w:rPr>
        <w:color w:val="000000"/>
        <w:sz w:val="20"/>
        <w:szCs w:val="20"/>
        <w:u w:val="none"/>
        <w:shd w:val="clear" w:color="auto" w:fill="auto"/>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99666910">
    <w:abstractNumId w:val="0"/>
  </w:num>
  <w:num w:numId="2" w16cid:durableId="3901592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A0D"/>
    <w:rsid w:val="003444C9"/>
    <w:rsid w:val="003D75FC"/>
    <w:rsid w:val="009C0A0D"/>
    <w:rsid w:val="009F68D8"/>
    <w:rsid w:val="00D05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CDA2E"/>
  <w15:docId w15:val="{76573B5B-35E2-214F-A712-E35A0190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FFFFFF"/>
      <w:spacing w:line="240" w:lineRule="auto"/>
      <w:outlineLvl w:val="0"/>
    </w:pPr>
    <w:rPr>
      <w:rFonts w:ascii="Twentieth Century" w:eastAsia="Twentieth Century" w:hAnsi="Twentieth Century" w:cs="Twentieth Century"/>
      <w:b/>
      <w:bCs/>
      <w:sz w:val="24"/>
      <w:szCs w:val="24"/>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3444C9"/>
    <w:pPr>
      <w:tabs>
        <w:tab w:val="center" w:pos="4680"/>
        <w:tab w:val="right" w:pos="9360"/>
      </w:tabs>
      <w:spacing w:line="240" w:lineRule="auto"/>
    </w:pPr>
  </w:style>
  <w:style w:type="character" w:customStyle="1" w:styleId="HeaderChar">
    <w:name w:val="Header Char"/>
    <w:basedOn w:val="DefaultParagraphFont"/>
    <w:link w:val="Header"/>
    <w:uiPriority w:val="99"/>
    <w:rsid w:val="003444C9"/>
  </w:style>
  <w:style w:type="paragraph" w:styleId="Footer">
    <w:name w:val="footer"/>
    <w:basedOn w:val="Normal"/>
    <w:link w:val="FooterChar"/>
    <w:uiPriority w:val="99"/>
    <w:unhideWhenUsed/>
    <w:rsid w:val="003444C9"/>
    <w:pPr>
      <w:tabs>
        <w:tab w:val="center" w:pos="4680"/>
        <w:tab w:val="right" w:pos="9360"/>
      </w:tabs>
      <w:spacing w:line="240" w:lineRule="auto"/>
    </w:pPr>
  </w:style>
  <w:style w:type="character" w:customStyle="1" w:styleId="FooterChar">
    <w:name w:val="Footer Char"/>
    <w:basedOn w:val="DefaultParagraphFont"/>
    <w:link w:val="Footer"/>
    <w:uiPriority w:val="99"/>
    <w:rsid w:val="003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bd.int/doc/recommendations/sbi-07/sbi-07-rec-01-en.pdf" TargetMode="External"/><Relationship Id="rId18" Type="http://schemas.openxmlformats.org/officeDocument/2006/relationships/hyperlink" Target="https://iucn.org/resources/grey-literature/improving-outcome-based-effectiveness-assessments-protected-and-conserved" TargetMode="External"/><Relationship Id="rId26" Type="http://schemas.openxmlformats.org/officeDocument/2006/relationships/hyperlink" Target="https://www.cbd.int/doc/c/6f97/2c4f/c563b5e0b7eb92cb427f1634/cop-17-11-en.pdf" TargetMode="External"/><Relationship Id="rId21" Type="http://schemas.openxmlformats.org/officeDocument/2006/relationships/hyperlink" Target="https://www.cbd.int/doc/c/6f97/2c4f/c563b5e0b7eb92cb427f1634/cop-17-11-en.pdf"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cbd.int/doc/recommendations/sbi-07/sbi-07-rec-03-en.pdf" TargetMode="External"/><Relationship Id="rId17" Type="http://schemas.openxmlformats.org/officeDocument/2006/relationships/hyperlink" Target="https://www.cbd.int/doc/recommendations/sbi-07/sbi-07-rec-01-en.pdf" TargetMode="External"/><Relationship Id="rId25" Type="http://schemas.openxmlformats.org/officeDocument/2006/relationships/hyperlink" Target="https://www.cbd.int/doc/recommendations/sbstta-27/sbstta-27-rec-03-en.pdf" TargetMode="External"/><Relationship Id="rId33" Type="http://schemas.openxmlformats.org/officeDocument/2006/relationships/hyperlink" Target="http://wcs.org/cbd" TargetMode="External"/><Relationship Id="rId2" Type="http://schemas.openxmlformats.org/officeDocument/2006/relationships/styles" Target="styles.xml"/><Relationship Id="rId16" Type="http://schemas.openxmlformats.org/officeDocument/2006/relationships/hyperlink" Target="https://womenoceanguardians.org/" TargetMode="External"/><Relationship Id="rId20" Type="http://schemas.openxmlformats.org/officeDocument/2006/relationships/hyperlink" Target="https://www.cbd.int/doc/c/6f97/2c4f/c563b5e0b7eb92cb427f1634/cop-17-11-en.pdf" TargetMode="External"/><Relationship Id="rId29" Type="http://schemas.openxmlformats.org/officeDocument/2006/relationships/hyperlink" Target="https://s3.amazonaws.com/km.documents.attachments/33d9/402c/e0bb3caf043664a5f3c9688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recommendations/sbi-07/sbi-07-rec-02-en.pdf" TargetMode="External"/><Relationship Id="rId24" Type="http://schemas.openxmlformats.org/officeDocument/2006/relationships/hyperlink" Target="https://newsroom.wcs.org/News-Releases/articleType/ArticleView/articleId/26071/73-of-the-Worlds-Ocean-Protected-Areas-Are-Polluted-by-Sewage.aspx" TargetMode="External"/><Relationship Id="rId32" Type="http://schemas.openxmlformats.org/officeDocument/2006/relationships/hyperlink" Target="https://www.cbd.int/doc/c/8bcf/56e0/8f1260e34fb25479b9aed2c6/cop-17-07-en.pdf"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zenodo.org/records/17653674" TargetMode="External"/><Relationship Id="rId23" Type="http://schemas.openxmlformats.org/officeDocument/2006/relationships/hyperlink" Target="https://www.cbd.int/doc/recommendations/sbstta-27/sbstta-27-rec-06-en.pdf" TargetMode="External"/><Relationship Id="rId28" Type="http://schemas.openxmlformats.org/officeDocument/2006/relationships/hyperlink" Target="https://s3.amazonaws.com/km.documents.attachments/1137/7f23/e7da2c596e0c73d2029517a6" TargetMode="External"/><Relationship Id="rId36" Type="http://schemas.openxmlformats.org/officeDocument/2006/relationships/fontTable" Target="fontTable.xml"/><Relationship Id="rId10" Type="http://schemas.openxmlformats.org/officeDocument/2006/relationships/hyperlink" Target="https://www.cbd.int/doc/c/1184/2cd3/45b33416ff90ca3353c32b3e/sbi-07-15-en.pdf" TargetMode="External"/><Relationship Id="rId19" Type="http://schemas.openxmlformats.org/officeDocument/2006/relationships/hyperlink" Target="https://www.cbd.int/doc/recommendations/sbi-06/sbi-06-rec-06-en.pdf" TargetMode="External"/><Relationship Id="rId31" Type="http://schemas.openxmlformats.org/officeDocument/2006/relationships/hyperlink" Target="https://www.cbd.int/doc/recommendations/sbstta-27/sbstta-27-rec-10-en.pdf" TargetMode="External"/><Relationship Id="rId4" Type="http://schemas.openxmlformats.org/officeDocument/2006/relationships/webSettings" Target="webSettings.xml"/><Relationship Id="rId9" Type="http://schemas.openxmlformats.org/officeDocument/2006/relationships/hyperlink" Target="mailto:adegemmis@wcs.org" TargetMode="External"/><Relationship Id="rId14" Type="http://schemas.openxmlformats.org/officeDocument/2006/relationships/hyperlink" Target="https://conbio.onlinelibrary.wiley.com/doi/10.1111/csp2.70189" TargetMode="External"/><Relationship Id="rId22" Type="http://schemas.openxmlformats.org/officeDocument/2006/relationships/hyperlink" Target="https://www.cbd.int/doc/recommendations/sbstta-28/sbstta-28-rec-05-en.pdf" TargetMode="External"/><Relationship Id="rId27" Type="http://schemas.openxmlformats.org/officeDocument/2006/relationships/hyperlink" Target="https://s3.amazonaws.com/km.documents.attachments/13c9/9291/fb58393780165ad2bf34abff" TargetMode="External"/><Relationship Id="rId30" Type="http://schemas.openxmlformats.org/officeDocument/2006/relationships/hyperlink" Target="https://www.cbd.int/doc/recommendations/sbstta-28/sbstta-28-rec-04-en.pdf" TargetMode="External"/><Relationship Id="rId35" Type="http://schemas.openxmlformats.org/officeDocument/2006/relationships/header" Target="header2.xml"/><Relationship Id="rId8" Type="http://schemas.openxmlformats.org/officeDocument/2006/relationships/hyperlink" Target="http://www.wcs.org"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3218</Words>
  <Characters>18346</Characters>
  <Application>Microsoft Office Word</Application>
  <DocSecurity>0</DocSecurity>
  <Lines>152</Lines>
  <Paragraphs>43</Paragraphs>
  <ScaleCrop>false</ScaleCrop>
  <Company/>
  <LinksUpToDate>false</LinksUpToDate>
  <CharactersWithSpaces>21521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lastModifiedBy>DeGemmis, Alfred</lastModifiedBy>
  <revision>3</revision>
  <dcterms:created xsi:type="dcterms:W3CDTF">2026-10-01T17:01:00.0000000Z</dcterms:created>
  <dcterms:modified xsi:type="dcterms:W3CDTF">2026-10-01T17:01:00.0000000Z</dcterms:modified>
  <keywords>, docId:48873E45A31E2598F44BD77F3CD01091</keywords>
</coreProperties>
</file>